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419" w:rsidRPr="00B45FA6" w:rsidRDefault="00813419" w:rsidP="00813419">
      <w:pPr>
        <w:pStyle w:val="Nzev"/>
        <w:outlineLvl w:val="0"/>
        <w:rPr>
          <w:szCs w:val="28"/>
        </w:rPr>
      </w:pPr>
      <w:r w:rsidRPr="00B45FA6">
        <w:t>Course Description</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7137"/>
      </w:tblGrid>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415E90" w:rsidRPr="00415E90" w:rsidRDefault="00415E90" w:rsidP="00415E90">
            <w:pPr>
              <w:spacing w:after="0" w:line="240" w:lineRule="auto"/>
              <w:ind w:left="36"/>
              <w:rPr>
                <w:rFonts w:ascii="Times New Roman" w:hAnsi="Times New Roman"/>
                <w:b/>
              </w:rPr>
            </w:pPr>
            <w:r>
              <w:rPr>
                <w:rFonts w:ascii="Times New Roman" w:hAnsi="Times New Roman"/>
                <w:b/>
              </w:rPr>
              <w:t>University</w:t>
            </w:r>
            <w:r w:rsidR="00C142DF">
              <w:rPr>
                <w:rFonts w:ascii="Times New Roman" w:hAnsi="Times New Roman"/>
                <w:b/>
              </w:rPr>
              <w:t xml:space="preserve">: </w:t>
            </w:r>
            <w:r>
              <w:rPr>
                <w:rFonts w:ascii="Times New Roman" w:hAnsi="Times New Roman"/>
                <w:b/>
              </w:rPr>
              <w:t xml:space="preserve"> </w:t>
            </w:r>
            <w:r w:rsidRPr="005659B2">
              <w:rPr>
                <w:rFonts w:ascii="Times New Roman" w:hAnsi="Times New Roman"/>
              </w:rPr>
              <w:t>Academy</w:t>
            </w:r>
            <w:r w:rsidR="005659B2" w:rsidRPr="005659B2">
              <w:rPr>
                <w:rFonts w:ascii="Times New Roman" w:hAnsi="Times New Roman"/>
              </w:rPr>
              <w:t xml:space="preserve"> of the Police Force</w:t>
            </w:r>
            <w:r w:rsidRPr="005659B2">
              <w:rPr>
                <w:rFonts w:ascii="Times New Roman" w:hAnsi="Times New Roman"/>
              </w:rPr>
              <w:t xml:space="preserve"> in Bratislava</w:t>
            </w:r>
          </w:p>
        </w:tc>
      </w:tr>
      <w:tr w:rsidR="00813419" w:rsidRPr="00B45FA6" w:rsidTr="000061FC">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rsidR="00813419" w:rsidRPr="00B45FA6" w:rsidRDefault="000061FC" w:rsidP="001E2EE4">
            <w:pPr>
              <w:spacing w:after="0" w:line="240" w:lineRule="auto"/>
              <w:rPr>
                <w:rFonts w:ascii="Times New Roman" w:eastAsia="Times New Roman" w:hAnsi="Times New Roman"/>
                <w:bCs/>
                <w:iCs/>
              </w:rPr>
            </w:pPr>
            <w:r w:rsidRPr="00B45FA6">
              <w:rPr>
                <w:rFonts w:ascii="Times New Roman" w:hAnsi="Times New Roman"/>
                <w:b/>
              </w:rPr>
              <w:t>Course Code:</w:t>
            </w:r>
            <w:r w:rsidR="005659B2">
              <w:rPr>
                <w:rFonts w:ascii="Times New Roman" w:hAnsi="Times New Roman"/>
                <w:b/>
              </w:rPr>
              <w:t xml:space="preserve"> </w:t>
            </w:r>
            <w:r w:rsidR="005659B2" w:rsidRPr="005659B2">
              <w:rPr>
                <w:rFonts w:ascii="Times New Roman" w:hAnsi="Times New Roman"/>
              </w:rPr>
              <w:t>831</w:t>
            </w:r>
            <w:r w:rsidR="00CE70A7" w:rsidRPr="005659B2">
              <w:rPr>
                <w:rFonts w:ascii="Times New Roman" w:hAnsi="Times New Roman"/>
              </w:rPr>
              <w:t xml:space="preserve"> 14 VP 6 AJ</w:t>
            </w:r>
            <w:r w:rsidRPr="00B45FA6">
              <w:rPr>
                <w:rFonts w:ascii="Times New Roman" w:hAnsi="Times New Roman"/>
                <w:b/>
                <w:vanish/>
              </w:rPr>
              <w:t xml:space="preserve">: </w:t>
            </w:r>
            <w:r w:rsidRPr="00B45FA6">
              <w:rPr>
                <w:rFonts w:ascii="Times New Roman" w:hAnsi="Times New Roman"/>
                <w:vanish/>
              </w:rPr>
              <w:t>832 D 22 PP 4</w:t>
            </w:r>
          </w:p>
        </w:tc>
        <w:tc>
          <w:tcPr>
            <w:tcW w:w="3293" w:type="pct"/>
            <w:tcBorders>
              <w:top w:val="single" w:sz="4" w:space="0" w:color="auto"/>
              <w:left w:val="single" w:sz="4" w:space="0" w:color="auto"/>
              <w:bottom w:val="single" w:sz="4" w:space="0" w:color="auto"/>
              <w:right w:val="single" w:sz="4" w:space="0" w:color="auto"/>
            </w:tcBorders>
            <w:vAlign w:val="center"/>
            <w:hideMark/>
          </w:tcPr>
          <w:p w:rsidR="00813419" w:rsidRPr="00B45FA6" w:rsidRDefault="000061FC" w:rsidP="007A1AA5">
            <w:pPr>
              <w:spacing w:after="0" w:line="240" w:lineRule="auto"/>
              <w:rPr>
                <w:rFonts w:ascii="Times New Roman" w:eastAsia="Times New Roman" w:hAnsi="Times New Roman"/>
                <w:bCs/>
                <w:iCs/>
              </w:rPr>
            </w:pPr>
            <w:r w:rsidRPr="00B45FA6">
              <w:rPr>
                <w:rFonts w:ascii="Times New Roman" w:hAnsi="Times New Roman"/>
                <w:b/>
              </w:rPr>
              <w:t>Course Name</w:t>
            </w:r>
            <w:r w:rsidR="00BF7BBA">
              <w:rPr>
                <w:rFonts w:ascii="Times New Roman" w:hAnsi="Times New Roman"/>
                <w:b/>
              </w:rPr>
              <w:t xml:space="preserve">: </w:t>
            </w:r>
            <w:r w:rsidR="007A1AA5" w:rsidRPr="005659B2">
              <w:rPr>
                <w:rFonts w:ascii="Times New Roman" w:hAnsi="Times New Roman"/>
              </w:rPr>
              <w:t xml:space="preserve">European Criminal </w:t>
            </w:r>
            <w:r w:rsidR="00BF7BBA" w:rsidRPr="005659B2">
              <w:rPr>
                <w:rFonts w:ascii="Times New Roman" w:hAnsi="Times New Roman"/>
              </w:rPr>
              <w:t>L</w:t>
            </w:r>
            <w:r w:rsidR="002613BD" w:rsidRPr="005659B2">
              <w:rPr>
                <w:rFonts w:ascii="Times New Roman" w:hAnsi="Times New Roman"/>
              </w:rPr>
              <w:t>aw</w:t>
            </w:r>
            <w:r w:rsidRPr="00B45FA6">
              <w:rPr>
                <w:rFonts w:ascii="Times New Roman" w:hAnsi="Times New Roman"/>
                <w:vanish/>
              </w:rPr>
              <w:t>Obchodné právo</w:t>
            </w:r>
          </w:p>
        </w:tc>
      </w:tr>
      <w:tr w:rsidR="00813419" w:rsidRPr="00B45FA6" w:rsidTr="000061FC">
        <w:trPr>
          <w:cantSplit/>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FA333D" w:rsidRPr="00B45FA6" w:rsidRDefault="00813419" w:rsidP="000061FC">
            <w:pPr>
              <w:spacing w:after="0" w:line="240" w:lineRule="auto"/>
              <w:rPr>
                <w:rFonts w:ascii="Times New Roman" w:hAnsi="Times New Roman"/>
                <w:b/>
              </w:rPr>
            </w:pPr>
            <w:r w:rsidRPr="00B45FA6">
              <w:rPr>
                <w:rFonts w:ascii="Times New Roman" w:hAnsi="Times New Roman"/>
                <w:b/>
              </w:rPr>
              <w:t>Type, Extent and Method of Instruction:</w:t>
            </w:r>
            <w:r w:rsidR="002613BD" w:rsidRPr="00B45FA6">
              <w:rPr>
                <w:rFonts w:ascii="Times New Roman" w:hAnsi="Times New Roman"/>
                <w:b/>
              </w:rPr>
              <w:t xml:space="preserve"> </w:t>
            </w:r>
            <w:r w:rsidRPr="00B45FA6">
              <w:rPr>
                <w:rFonts w:ascii="Times New Roman" w:hAnsi="Times New Roman"/>
                <w:b/>
              </w:rPr>
              <w:t xml:space="preserve"> </w:t>
            </w:r>
          </w:p>
          <w:p w:rsidR="009F2142" w:rsidRPr="00B45FA6" w:rsidRDefault="00FF1676" w:rsidP="000061FC">
            <w:pPr>
              <w:spacing w:after="0" w:line="240" w:lineRule="auto"/>
              <w:rPr>
                <w:rFonts w:ascii="Times New Roman" w:hAnsi="Times New Roman"/>
              </w:rPr>
            </w:pPr>
            <w:r w:rsidRPr="00B45FA6">
              <w:rPr>
                <w:rFonts w:ascii="Times New Roman" w:hAnsi="Times New Roman"/>
                <w:b/>
              </w:rPr>
              <w:t>Type:</w:t>
            </w:r>
            <w:r w:rsidRPr="00B45FA6">
              <w:rPr>
                <w:rFonts w:ascii="Times New Roman" w:hAnsi="Times New Roman"/>
              </w:rPr>
              <w:t xml:space="preserve">  </w:t>
            </w:r>
            <w:r w:rsidR="00C20664" w:rsidRPr="00CE70A7">
              <w:rPr>
                <w:rFonts w:ascii="Times New Roman" w:hAnsi="Times New Roman"/>
                <w:b/>
              </w:rPr>
              <w:t>L</w:t>
            </w:r>
            <w:r w:rsidR="00CE5EEF">
              <w:rPr>
                <w:rFonts w:ascii="Times New Roman" w:hAnsi="Times New Roman"/>
                <w:b/>
              </w:rPr>
              <w:t>/E</w:t>
            </w:r>
            <w:r w:rsidRPr="00B45FA6">
              <w:rPr>
                <w:rFonts w:ascii="Times New Roman" w:hAnsi="Times New Roman"/>
                <w:vanish/>
              </w:rPr>
              <w:t>P, C</w:t>
            </w:r>
          </w:p>
          <w:p w:rsidR="009F2142" w:rsidRPr="00B45FA6" w:rsidRDefault="009F2142" w:rsidP="000061FC">
            <w:pPr>
              <w:spacing w:after="0" w:line="240" w:lineRule="auto"/>
              <w:rPr>
                <w:rFonts w:ascii="Times New Roman" w:hAnsi="Times New Roman"/>
              </w:rPr>
            </w:pPr>
            <w:r w:rsidRPr="00B45FA6">
              <w:rPr>
                <w:rFonts w:ascii="Times New Roman" w:hAnsi="Times New Roman"/>
                <w:b/>
              </w:rPr>
              <w:t>Recommended Course Format</w:t>
            </w:r>
            <w:r w:rsidR="002613BD" w:rsidRPr="00B45FA6">
              <w:rPr>
                <w:rFonts w:ascii="Times New Roman" w:hAnsi="Times New Roman"/>
                <w:b/>
              </w:rPr>
              <w:t>:</w:t>
            </w:r>
            <w:r w:rsidR="00CE70A7">
              <w:rPr>
                <w:rFonts w:ascii="Times New Roman" w:hAnsi="Times New Roman"/>
              </w:rPr>
              <w:t xml:space="preserve"> 1/1</w:t>
            </w:r>
            <w:r w:rsidR="002613BD" w:rsidRPr="00B45FA6">
              <w:rPr>
                <w:rFonts w:ascii="Times New Roman" w:hAnsi="Times New Roman"/>
              </w:rPr>
              <w:t xml:space="preserve"> hour of lecturing</w:t>
            </w:r>
            <w:r w:rsidR="00CE70A7">
              <w:rPr>
                <w:rFonts w:ascii="Times New Roman" w:hAnsi="Times New Roman"/>
              </w:rPr>
              <w:t>, exercises</w:t>
            </w:r>
            <w:r w:rsidR="002613BD" w:rsidRPr="00B45FA6">
              <w:rPr>
                <w:rFonts w:ascii="Times New Roman" w:hAnsi="Times New Roman"/>
              </w:rPr>
              <w:t xml:space="preserve"> per week</w:t>
            </w:r>
            <w:r w:rsidRPr="00B45FA6">
              <w:rPr>
                <w:rFonts w:ascii="Times New Roman" w:hAnsi="Times New Roman"/>
                <w:vanish/>
              </w:rPr>
              <w:t xml:space="preserve">2 hodiny prednášok/ 2 hodiny cvičení týždenne </w:t>
            </w:r>
          </w:p>
          <w:p w:rsidR="009F2142" w:rsidRPr="00B45FA6" w:rsidRDefault="00115D5B" w:rsidP="000061FC">
            <w:pPr>
              <w:spacing w:after="0" w:line="240" w:lineRule="auto"/>
              <w:rPr>
                <w:rFonts w:ascii="Times New Roman" w:hAnsi="Times New Roman"/>
                <w:b/>
              </w:rPr>
            </w:pPr>
            <w:r w:rsidRPr="00B45FA6">
              <w:rPr>
                <w:rFonts w:ascii="Times New Roman" w:hAnsi="Times New Roman"/>
                <w:b/>
              </w:rPr>
              <w:t>Methods:</w:t>
            </w:r>
            <w:r w:rsidRPr="00B45FA6">
              <w:rPr>
                <w:rFonts w:ascii="Times New Roman" w:hAnsi="Times New Roman"/>
              </w:rPr>
              <w:t xml:space="preserve"> </w:t>
            </w:r>
            <w:r w:rsidR="002613BD" w:rsidRPr="00B45FA6">
              <w:rPr>
                <w:rFonts w:ascii="Times New Roman" w:hAnsi="Times New Roman"/>
              </w:rPr>
              <w:t>Attendance Method</w:t>
            </w:r>
            <w:r w:rsidRPr="00B45FA6">
              <w:rPr>
                <w:rFonts w:ascii="Times New Roman" w:hAnsi="Times New Roman"/>
                <w:vanish/>
              </w:rPr>
              <w:t>prezenčná</w:t>
            </w:r>
          </w:p>
        </w:tc>
      </w:tr>
      <w:tr w:rsidR="00813419" w:rsidRPr="00B45FA6"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0061FC">
            <w:pPr>
              <w:spacing w:after="0" w:line="240" w:lineRule="auto"/>
              <w:rPr>
                <w:rFonts w:ascii="Times New Roman" w:eastAsia="Times New Roman" w:hAnsi="Times New Roman"/>
              </w:rPr>
            </w:pPr>
            <w:r w:rsidRPr="00B45FA6">
              <w:rPr>
                <w:rFonts w:ascii="Times New Roman" w:hAnsi="Times New Roman"/>
                <w:b/>
              </w:rPr>
              <w:t>Number of Credits</w:t>
            </w:r>
            <w:r w:rsidRPr="00B45FA6">
              <w:rPr>
                <w:rFonts w:ascii="Times New Roman" w:hAnsi="Times New Roman"/>
              </w:rPr>
              <w:t xml:space="preserve">: </w:t>
            </w:r>
            <w:r w:rsidR="00413BDE">
              <w:rPr>
                <w:rFonts w:ascii="Times New Roman" w:hAnsi="Times New Roman"/>
              </w:rPr>
              <w:t>5</w:t>
            </w:r>
            <w:bookmarkStart w:id="0" w:name="_GoBack"/>
            <w:bookmarkEnd w:id="0"/>
            <w:r w:rsidRPr="00B45FA6">
              <w:rPr>
                <w:rFonts w:ascii="Times New Roman" w:hAnsi="Times New Roman"/>
                <w:vanish/>
              </w:rPr>
              <w:t>4</w:t>
            </w:r>
          </w:p>
        </w:tc>
      </w:tr>
      <w:tr w:rsidR="00813419" w:rsidRPr="00B45FA6"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5E4179">
            <w:pPr>
              <w:spacing w:after="0" w:line="240" w:lineRule="auto"/>
              <w:rPr>
                <w:rFonts w:ascii="Times New Roman" w:eastAsia="Times New Roman" w:hAnsi="Times New Roman"/>
                <w:iCs/>
              </w:rPr>
            </w:pPr>
            <w:r w:rsidRPr="00B45FA6">
              <w:rPr>
                <w:rFonts w:ascii="Times New Roman" w:hAnsi="Times New Roman"/>
                <w:b/>
              </w:rPr>
              <w:t>Recommended Term:</w:t>
            </w:r>
            <w:r w:rsidR="002613BD" w:rsidRPr="00B45FA6">
              <w:rPr>
                <w:rFonts w:ascii="Times New Roman" w:hAnsi="Times New Roman"/>
              </w:rPr>
              <w:t xml:space="preserve"> </w:t>
            </w:r>
            <w:r w:rsidR="005E4179">
              <w:rPr>
                <w:rFonts w:ascii="Times New Roman" w:hAnsi="Times New Roman"/>
              </w:rPr>
              <w:t>6</w:t>
            </w:r>
            <w:r w:rsidR="002613BD" w:rsidRPr="00B45FA6">
              <w:rPr>
                <w:rFonts w:ascii="Times New Roman" w:hAnsi="Times New Roman"/>
                <w:vertAlign w:val="superscript"/>
              </w:rPr>
              <w:t>th</w:t>
            </w:r>
            <w:r w:rsidR="002613BD" w:rsidRPr="00B45FA6">
              <w:rPr>
                <w:rFonts w:ascii="Times New Roman" w:hAnsi="Times New Roman"/>
              </w:rPr>
              <w:t xml:space="preserve"> Semester</w:t>
            </w:r>
            <w:r w:rsidRPr="00B45FA6">
              <w:rPr>
                <w:rFonts w:ascii="Times New Roman" w:hAnsi="Times New Roman"/>
                <w:vanish/>
              </w:rPr>
              <w:t>2. semester</w:t>
            </w:r>
          </w:p>
        </w:tc>
      </w:tr>
      <w:tr w:rsidR="00813419" w:rsidRPr="00B45FA6"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0061FC">
            <w:pPr>
              <w:spacing w:after="0" w:line="240" w:lineRule="auto"/>
              <w:rPr>
                <w:rFonts w:ascii="Times New Roman" w:eastAsia="Times New Roman" w:hAnsi="Times New Roman"/>
                <w:b/>
              </w:rPr>
            </w:pPr>
            <w:r w:rsidRPr="00B45FA6">
              <w:rPr>
                <w:rFonts w:ascii="Times New Roman" w:hAnsi="Times New Roman"/>
                <w:b/>
              </w:rPr>
              <w:t>Degree of Study:</w:t>
            </w:r>
            <w:r w:rsidR="002613BD" w:rsidRPr="00B45FA6">
              <w:rPr>
                <w:rFonts w:ascii="Times New Roman" w:hAnsi="Times New Roman"/>
              </w:rPr>
              <w:t xml:space="preserve"> 1</w:t>
            </w:r>
            <w:r w:rsidR="002613BD" w:rsidRPr="00B45FA6">
              <w:rPr>
                <w:rFonts w:ascii="Times New Roman" w:hAnsi="Times New Roman"/>
                <w:vertAlign w:val="superscript"/>
              </w:rPr>
              <w:t>st</w:t>
            </w:r>
            <w:r w:rsidR="002613BD" w:rsidRPr="00B45FA6">
              <w:rPr>
                <w:rFonts w:ascii="Times New Roman" w:hAnsi="Times New Roman"/>
              </w:rPr>
              <w:t xml:space="preserve"> Degree</w:t>
            </w:r>
            <w:r w:rsidRPr="00B45FA6">
              <w:rPr>
                <w:rFonts w:ascii="Times New Roman" w:hAnsi="Times New Roman"/>
                <w:vanish/>
              </w:rPr>
              <w:t>2. stupeň</w:t>
            </w:r>
          </w:p>
        </w:tc>
      </w:tr>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AA61AE">
            <w:pPr>
              <w:spacing w:after="0" w:line="240" w:lineRule="auto"/>
              <w:rPr>
                <w:rFonts w:ascii="Times New Roman" w:eastAsia="Times New Roman" w:hAnsi="Times New Roman"/>
              </w:rPr>
            </w:pPr>
            <w:r w:rsidRPr="00B45FA6">
              <w:rPr>
                <w:rFonts w:ascii="Times New Roman" w:hAnsi="Times New Roman"/>
                <w:b/>
              </w:rPr>
              <w:t xml:space="preserve">Pre-requisites: </w:t>
            </w:r>
          </w:p>
        </w:tc>
      </w:tr>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D01F10" w:rsidRPr="00B45FA6" w:rsidRDefault="00813419" w:rsidP="000061FC">
            <w:pPr>
              <w:spacing w:after="0" w:line="240" w:lineRule="auto"/>
              <w:rPr>
                <w:rFonts w:ascii="Times New Roman" w:hAnsi="Times New Roman"/>
                <w:b/>
              </w:rPr>
            </w:pPr>
            <w:r w:rsidRPr="00B45FA6">
              <w:rPr>
                <w:rFonts w:ascii="Times New Roman" w:hAnsi="Times New Roman"/>
                <w:b/>
              </w:rPr>
              <w:t>Course Requirements:</w:t>
            </w:r>
          </w:p>
          <w:p w:rsidR="00813419" w:rsidRPr="00B45FA6" w:rsidRDefault="00D01F10" w:rsidP="00B45FA6">
            <w:pPr>
              <w:spacing w:after="0" w:line="240" w:lineRule="auto"/>
              <w:jc w:val="both"/>
              <w:rPr>
                <w:rFonts w:ascii="Times New Roman" w:hAnsi="Times New Roman"/>
              </w:rPr>
            </w:pPr>
            <w:r w:rsidRPr="00B45FA6">
              <w:rPr>
                <w:rFonts w:ascii="Times New Roman" w:hAnsi="Times New Roman"/>
                <w:b/>
              </w:rPr>
              <w:t>Continuous Assessment:</w:t>
            </w:r>
            <w:r w:rsidRPr="00B45FA6">
              <w:rPr>
                <w:rFonts w:ascii="Times New Roman" w:hAnsi="Times New Roman"/>
              </w:rPr>
              <w:t xml:space="preserve"> </w:t>
            </w:r>
            <w:r w:rsidR="00C625D7">
              <w:rPr>
                <w:rFonts w:ascii="Times New Roman" w:hAnsi="Times New Roman"/>
              </w:rPr>
              <w:t xml:space="preserve">One written test and a seminar assignment consisting of written essay on one of the provided topics as well as its presentation. Both test and the assignment are worth up to maximum of 50 points. </w:t>
            </w:r>
            <w:r w:rsidRPr="00B45FA6">
              <w:rPr>
                <w:rFonts w:ascii="Times New Roman" w:hAnsi="Times New Roman"/>
              </w:rPr>
              <w:t xml:space="preserve">The grade distribution is as follows: A - at least 94 points, B - at least 86 points, C - at least 76 points, D - at least 66 points, and E - at least 56 points. A student </w:t>
            </w:r>
            <w:r w:rsidR="00C625D7">
              <w:rPr>
                <w:rFonts w:ascii="Times New Roman" w:hAnsi="Times New Roman"/>
              </w:rPr>
              <w:t>needs to earn at least 28 points in both</w:t>
            </w:r>
            <w:r w:rsidR="009C49DE">
              <w:rPr>
                <w:rFonts w:ascii="Times New Roman" w:hAnsi="Times New Roman"/>
              </w:rPr>
              <w:t xml:space="preserve"> parts of the continuous assessment.</w:t>
            </w:r>
            <w:r w:rsidRPr="00B45FA6">
              <w:rPr>
                <w:rFonts w:ascii="Times New Roman" w:hAnsi="Times New Roman"/>
              </w:rPr>
              <w:t xml:space="preserve"> A student's admittance to an exam is pre-conditioned by his or her meeting the conditions prescribed for continuous assessment.</w:t>
            </w:r>
          </w:p>
          <w:p w:rsidR="00D01F10" w:rsidRPr="00B45FA6" w:rsidRDefault="00D01F10" w:rsidP="00B45FA6">
            <w:pPr>
              <w:spacing w:after="0" w:line="240" w:lineRule="auto"/>
              <w:jc w:val="both"/>
              <w:rPr>
                <w:rFonts w:ascii="Times New Roman" w:eastAsia="Times New Roman" w:hAnsi="Times New Roman"/>
              </w:rPr>
            </w:pPr>
            <w:r w:rsidRPr="00B45FA6">
              <w:rPr>
                <w:rFonts w:ascii="Times New Roman" w:hAnsi="Times New Roman"/>
                <w:b/>
              </w:rPr>
              <w:t xml:space="preserve">Final Assessment: </w:t>
            </w:r>
            <w:r w:rsidR="002613BD" w:rsidRPr="00B45FA6">
              <w:rPr>
                <w:rFonts w:ascii="Times New Roman" w:hAnsi="Times New Roman"/>
              </w:rPr>
              <w:t>Exam „E</w:t>
            </w:r>
            <w:r w:rsidRPr="00B45FA6">
              <w:rPr>
                <w:rFonts w:ascii="Times New Roman" w:hAnsi="Times New Roman"/>
              </w:rPr>
              <w:t>“ - exam result</w:t>
            </w:r>
          </w:p>
        </w:tc>
      </w:tr>
      <w:tr w:rsidR="00813419" w:rsidRPr="00B45FA6" w:rsidTr="00AF4726">
        <w:trPr>
          <w:cantSplit/>
          <w:trHeight w:val="1721"/>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rsidR="00813419" w:rsidRPr="00B45FA6" w:rsidRDefault="00813419" w:rsidP="008E58E8">
            <w:pPr>
              <w:spacing w:line="240" w:lineRule="auto"/>
              <w:jc w:val="both"/>
              <w:rPr>
                <w:rFonts w:ascii="Tahoma" w:hAnsi="Tahoma" w:cs="Tahoma"/>
                <w:sz w:val="18"/>
                <w:szCs w:val="18"/>
              </w:rPr>
            </w:pPr>
            <w:r w:rsidRPr="00B45FA6">
              <w:rPr>
                <w:rFonts w:ascii="Times New Roman" w:hAnsi="Times New Roman"/>
                <w:b/>
              </w:rPr>
              <w:t>Course Outcome:</w:t>
            </w:r>
            <w:r w:rsidR="002613BD" w:rsidRPr="00B45FA6">
              <w:rPr>
                <w:rFonts w:ascii="Times New Roman" w:hAnsi="Times New Roman"/>
              </w:rPr>
              <w:t xml:space="preserve"> </w:t>
            </w:r>
            <w:r w:rsidR="009C49DE">
              <w:rPr>
                <w:rFonts w:ascii="Times New Roman" w:hAnsi="Times New Roman"/>
              </w:rPr>
              <w:t>Student pass</w:t>
            </w:r>
            <w:r w:rsidR="00CE70A7">
              <w:rPr>
                <w:rFonts w:ascii="Times New Roman" w:hAnsi="Times New Roman"/>
              </w:rPr>
              <w:t>ing the subject will acquire</w:t>
            </w:r>
            <w:r w:rsidR="009C49DE">
              <w:rPr>
                <w:rFonts w:ascii="Times New Roman" w:hAnsi="Times New Roman"/>
              </w:rPr>
              <w:t xml:space="preserve"> knowledge in the field of European criminal law with a focus on the influence of </w:t>
            </w:r>
            <w:r w:rsidR="00CE70A7">
              <w:rPr>
                <w:rFonts w:ascii="Times New Roman" w:hAnsi="Times New Roman"/>
              </w:rPr>
              <w:t xml:space="preserve">the </w:t>
            </w:r>
            <w:r w:rsidR="009C49DE">
              <w:rPr>
                <w:rFonts w:ascii="Times New Roman" w:hAnsi="Times New Roman"/>
              </w:rPr>
              <w:t>European Union’s legislation on the national criminal substantive law as well as criminal procedure. Emphasis will be put on</w:t>
            </w:r>
            <w:r w:rsidR="00175475">
              <w:rPr>
                <w:rFonts w:ascii="Times New Roman" w:hAnsi="Times New Roman"/>
              </w:rPr>
              <w:t xml:space="preserve"> provisions concerning minimum standards regarding the general conditions of criminal liability,</w:t>
            </w:r>
            <w:r w:rsidR="00CE70A7">
              <w:rPr>
                <w:rFonts w:ascii="Times New Roman" w:hAnsi="Times New Roman"/>
              </w:rPr>
              <w:t xml:space="preserve"> so-</w:t>
            </w:r>
            <w:r w:rsidR="00175475">
              <w:rPr>
                <w:rFonts w:ascii="Times New Roman" w:hAnsi="Times New Roman"/>
              </w:rPr>
              <w:t xml:space="preserve">called european crimes, fundamental rights of the subjects of criminal procedure, selected instruments of judicial cooperation in criminal matters and lastly the instrumental framework for combating crime in the European Union. </w:t>
            </w:r>
            <w:r w:rsidR="008E58E8">
              <w:rPr>
                <w:rFonts w:ascii="Times New Roman" w:hAnsi="Times New Roman"/>
              </w:rPr>
              <w:t>Analyses of important CJEU’s rulings constitute a vital part of the course.</w:t>
            </w:r>
            <w:r w:rsidRPr="00B45FA6">
              <w:rPr>
                <w:rFonts w:ascii="Times New Roman" w:hAnsi="Times New Roman"/>
                <w:vanish/>
              </w:rPr>
              <w:t>Absolvovaním predmetu Obchodné právo študent nadobudol všeobecný prehľad o základných obchodnoprávnych inštitútoch, poznatky o právnej ochrane hospodárskej súťaže, prehľad subjektívnych a nesubjektívnych formách podnikania i obchodných záväzkových vzťahoch vrátane praktického zvládnutia zmluvnej typológie podľa Obchodného zákonníka. Zároveň získal relevantné poznatky z procesov konkurzu a reštrukturalizácie a verejného obstarávania i z hľadiska ich bezpečnostného aspektu.</w:t>
            </w:r>
          </w:p>
        </w:tc>
      </w:tr>
      <w:tr w:rsidR="00813419" w:rsidRPr="00B45FA6"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rsidR="00C142DF" w:rsidRPr="00415E90" w:rsidRDefault="00415E90" w:rsidP="00C142DF">
            <w:pPr>
              <w:pStyle w:val="Zkladntext"/>
              <w:rPr>
                <w:sz w:val="22"/>
                <w:szCs w:val="22"/>
                <w:lang w:val="en-US"/>
              </w:rPr>
            </w:pPr>
            <w:r w:rsidRPr="00415E90">
              <w:rPr>
                <w:sz w:val="22"/>
                <w:szCs w:val="22"/>
                <w:lang w:val="en-US"/>
              </w:rPr>
              <w:t>Course Description</w:t>
            </w:r>
            <w:r w:rsidR="00813419" w:rsidRPr="00415E90">
              <w:rPr>
                <w:sz w:val="22"/>
                <w:szCs w:val="22"/>
                <w:lang w:val="en-US"/>
              </w:rPr>
              <w:t>:</w:t>
            </w:r>
          </w:p>
          <w:p w:rsidR="00C142DF" w:rsidRPr="00C142DF" w:rsidRDefault="008E58E8" w:rsidP="00AF4726">
            <w:pPr>
              <w:pStyle w:val="Zpat"/>
              <w:numPr>
                <w:ilvl w:val="0"/>
                <w:numId w:val="1"/>
              </w:numPr>
              <w:jc w:val="both"/>
              <w:rPr>
                <w:sz w:val="22"/>
                <w:szCs w:val="22"/>
                <w:lang w:val="en-US"/>
              </w:rPr>
            </w:pPr>
            <w:r>
              <w:rPr>
                <w:sz w:val="22"/>
                <w:szCs w:val="22"/>
                <w:lang w:val="en-US"/>
              </w:rPr>
              <w:t>Introduction to European Criminal Law and its historical development.</w:t>
            </w:r>
          </w:p>
          <w:p w:rsidR="00C142DF" w:rsidRPr="00C142DF" w:rsidRDefault="008E58E8" w:rsidP="00AF4726">
            <w:pPr>
              <w:pStyle w:val="Zpat"/>
              <w:numPr>
                <w:ilvl w:val="0"/>
                <w:numId w:val="1"/>
              </w:numPr>
              <w:jc w:val="both"/>
              <w:rPr>
                <w:sz w:val="22"/>
                <w:szCs w:val="22"/>
                <w:lang w:val="en-US"/>
              </w:rPr>
            </w:pPr>
            <w:r>
              <w:rPr>
                <w:sz w:val="22"/>
                <w:szCs w:val="22"/>
                <w:lang w:val="en-US"/>
              </w:rPr>
              <w:t xml:space="preserve">The europeanisation of criminal law in the context of </w:t>
            </w:r>
            <w:r w:rsidR="00CE70A7">
              <w:rPr>
                <w:sz w:val="22"/>
                <w:szCs w:val="22"/>
                <w:lang w:val="en-US"/>
              </w:rPr>
              <w:t xml:space="preserve">the </w:t>
            </w:r>
            <w:r>
              <w:rPr>
                <w:sz w:val="22"/>
                <w:szCs w:val="22"/>
                <w:lang w:val="en-US"/>
              </w:rPr>
              <w:t>European Union</w:t>
            </w:r>
          </w:p>
          <w:p w:rsidR="00C142DF" w:rsidRPr="00C142DF" w:rsidRDefault="001204B6" w:rsidP="00AF4726">
            <w:pPr>
              <w:pStyle w:val="Zpat"/>
              <w:numPr>
                <w:ilvl w:val="0"/>
                <w:numId w:val="1"/>
              </w:numPr>
              <w:jc w:val="both"/>
              <w:rPr>
                <w:sz w:val="22"/>
                <w:szCs w:val="22"/>
                <w:lang w:val="en-US"/>
              </w:rPr>
            </w:pPr>
            <w:r>
              <w:rPr>
                <w:sz w:val="22"/>
                <w:szCs w:val="22"/>
                <w:lang w:val="en-US"/>
              </w:rPr>
              <w:t>CJEU and its influence on the development of European Criminal Law</w:t>
            </w:r>
          </w:p>
          <w:p w:rsidR="00C142DF" w:rsidRPr="00C142DF" w:rsidRDefault="001204B6" w:rsidP="00AF4726">
            <w:pPr>
              <w:pStyle w:val="Zpat"/>
              <w:numPr>
                <w:ilvl w:val="0"/>
                <w:numId w:val="1"/>
              </w:numPr>
              <w:jc w:val="both"/>
              <w:rPr>
                <w:sz w:val="22"/>
                <w:szCs w:val="22"/>
                <w:lang w:val="en-US"/>
              </w:rPr>
            </w:pPr>
            <w:r>
              <w:rPr>
                <w:sz w:val="22"/>
                <w:szCs w:val="22"/>
                <w:lang w:val="en-US"/>
              </w:rPr>
              <w:t>Substantive European Criminal Law</w:t>
            </w:r>
            <w:r w:rsidR="000B403C">
              <w:rPr>
                <w:sz w:val="22"/>
                <w:szCs w:val="22"/>
                <w:lang w:val="en-US"/>
              </w:rPr>
              <w:t xml:space="preserve"> I</w:t>
            </w:r>
            <w:r>
              <w:rPr>
                <w:sz w:val="22"/>
                <w:szCs w:val="22"/>
                <w:lang w:val="en-US"/>
              </w:rPr>
              <w:t xml:space="preserve"> - basic principles of criminal liability in the context of EU Charter of Fundamental rights, criminal liability of legal persons,</w:t>
            </w:r>
            <w:r w:rsidR="000B403C">
              <w:rPr>
                <w:sz w:val="22"/>
                <w:szCs w:val="22"/>
                <w:lang w:val="en-US"/>
              </w:rPr>
              <w:t xml:space="preserve"> harmonization of criminal punishments.</w:t>
            </w:r>
          </w:p>
          <w:p w:rsidR="00C142DF" w:rsidRPr="00C142DF" w:rsidRDefault="000B403C" w:rsidP="00AF4726">
            <w:pPr>
              <w:pStyle w:val="Zpat"/>
              <w:numPr>
                <w:ilvl w:val="0"/>
                <w:numId w:val="1"/>
              </w:numPr>
              <w:jc w:val="both"/>
              <w:rPr>
                <w:sz w:val="22"/>
                <w:szCs w:val="22"/>
                <w:lang w:val="en-US"/>
              </w:rPr>
            </w:pPr>
            <w:r>
              <w:rPr>
                <w:sz w:val="22"/>
                <w:szCs w:val="22"/>
                <w:lang w:val="en-US"/>
              </w:rPr>
              <w:t>Substantive European Criminal Law II - selected european crimes: terrorism, human trafficking, money laundering, illicit drug trafficking, racism and xenophobia, environmental crime, organized crime.</w:t>
            </w:r>
          </w:p>
          <w:p w:rsidR="00C142DF" w:rsidRDefault="000B403C" w:rsidP="00AF4726">
            <w:pPr>
              <w:pStyle w:val="Zpat"/>
              <w:numPr>
                <w:ilvl w:val="0"/>
                <w:numId w:val="1"/>
              </w:numPr>
              <w:jc w:val="both"/>
              <w:rPr>
                <w:sz w:val="22"/>
                <w:szCs w:val="22"/>
                <w:lang w:val="en-US"/>
              </w:rPr>
            </w:pPr>
            <w:r>
              <w:rPr>
                <w:sz w:val="22"/>
                <w:szCs w:val="22"/>
                <w:lang w:val="en-US"/>
              </w:rPr>
              <w:t xml:space="preserve">Procedural European Criminal Law I </w:t>
            </w:r>
            <w:r w:rsidR="001C12DF">
              <w:rPr>
                <w:sz w:val="22"/>
                <w:szCs w:val="22"/>
                <w:lang w:val="en-US"/>
              </w:rPr>
              <w:t xml:space="preserve">- </w:t>
            </w:r>
            <w:r w:rsidR="001C12DF" w:rsidRPr="00C142DF">
              <w:rPr>
                <w:sz w:val="22"/>
                <w:szCs w:val="22"/>
                <w:lang w:val="en-US"/>
              </w:rPr>
              <w:t>basic</w:t>
            </w:r>
            <w:r>
              <w:rPr>
                <w:sz w:val="22"/>
                <w:szCs w:val="22"/>
                <w:lang w:val="en-US"/>
              </w:rPr>
              <w:t xml:space="preserve"> rights of accused persons: right to a fair trial, presumption of innocence, </w:t>
            </w:r>
            <w:r>
              <w:rPr>
                <w:i/>
                <w:sz w:val="22"/>
                <w:szCs w:val="22"/>
                <w:lang w:val="en-US"/>
              </w:rPr>
              <w:t>ne bis in idem</w:t>
            </w:r>
            <w:r>
              <w:rPr>
                <w:sz w:val="22"/>
                <w:szCs w:val="22"/>
                <w:lang w:val="en-US"/>
              </w:rPr>
              <w:t xml:space="preserve">, right to information </w:t>
            </w:r>
            <w:r w:rsidR="001C12DF">
              <w:rPr>
                <w:sz w:val="22"/>
                <w:szCs w:val="22"/>
                <w:lang w:val="en-US"/>
              </w:rPr>
              <w:t>in</w:t>
            </w:r>
            <w:r>
              <w:rPr>
                <w:sz w:val="22"/>
                <w:szCs w:val="22"/>
                <w:lang w:val="en-US"/>
              </w:rPr>
              <w:t xml:space="preserve"> criminal proceeding, right to be present at the trial</w:t>
            </w:r>
            <w:r w:rsidR="001C12DF">
              <w:rPr>
                <w:sz w:val="22"/>
                <w:szCs w:val="22"/>
                <w:lang w:val="en-US"/>
              </w:rPr>
              <w:t>; protection of the victims of crime.</w:t>
            </w:r>
          </w:p>
          <w:p w:rsidR="001C12DF" w:rsidRPr="00C142DF" w:rsidRDefault="001C12DF" w:rsidP="00AF4726">
            <w:pPr>
              <w:pStyle w:val="Zpat"/>
              <w:numPr>
                <w:ilvl w:val="0"/>
                <w:numId w:val="1"/>
              </w:numPr>
              <w:jc w:val="both"/>
              <w:rPr>
                <w:sz w:val="22"/>
                <w:szCs w:val="22"/>
                <w:lang w:val="en-US"/>
              </w:rPr>
            </w:pPr>
            <w:r>
              <w:rPr>
                <w:sz w:val="22"/>
                <w:szCs w:val="22"/>
                <w:lang w:val="en-US"/>
              </w:rPr>
              <w:t>Procedural European Criminal Law II - selected instruments of judicial cooperation in criminal matters - European Arrest Warrant, European Investigation Order, Order Freezing Property or Evidence, cross border surveillance.</w:t>
            </w:r>
          </w:p>
          <w:p w:rsidR="00C63858" w:rsidRPr="00B852FE" w:rsidRDefault="001C12DF" w:rsidP="00AF4726">
            <w:pPr>
              <w:pStyle w:val="Zpat"/>
              <w:numPr>
                <w:ilvl w:val="0"/>
                <w:numId w:val="1"/>
              </w:numPr>
              <w:jc w:val="both"/>
              <w:rPr>
                <w:vanish/>
                <w:lang w:val="en-US"/>
              </w:rPr>
            </w:pPr>
            <w:r>
              <w:rPr>
                <w:sz w:val="22"/>
                <w:szCs w:val="22"/>
                <w:lang w:val="en-US"/>
              </w:rPr>
              <w:t>Institutional framework for combating crime in EU - joint investigation teams, EUROPOL, Eurojust, OLAF.</w:t>
            </w:r>
            <w:r w:rsidR="00C142DF" w:rsidRPr="00B852FE">
              <w:rPr>
                <w:sz w:val="22"/>
                <w:szCs w:val="22"/>
                <w:lang w:val="en-US"/>
              </w:rPr>
              <w:fldChar w:fldCharType="begin">
                <w:ffData>
                  <w:name w:val="Text19"/>
                  <w:enabled/>
                  <w:calcOnExit w:val="0"/>
                  <w:textInput/>
                </w:ffData>
              </w:fldChar>
            </w:r>
            <w:r w:rsidR="00C142DF" w:rsidRPr="00B852FE">
              <w:rPr>
                <w:sz w:val="22"/>
                <w:szCs w:val="22"/>
                <w:lang w:val="en-US"/>
              </w:rPr>
              <w:instrText xml:space="preserve"> FORMTEXT </w:instrText>
            </w:r>
            <w:r w:rsidR="00413BDE">
              <w:rPr>
                <w:sz w:val="22"/>
                <w:szCs w:val="22"/>
                <w:lang w:val="en-US"/>
              </w:rPr>
            </w:r>
            <w:r w:rsidR="00413BDE">
              <w:rPr>
                <w:sz w:val="22"/>
                <w:szCs w:val="22"/>
                <w:lang w:val="en-US"/>
              </w:rPr>
              <w:fldChar w:fldCharType="separate"/>
            </w:r>
            <w:r w:rsidR="00C142DF" w:rsidRPr="00B852FE">
              <w:rPr>
                <w:sz w:val="22"/>
                <w:szCs w:val="22"/>
                <w:lang w:val="en-US"/>
              </w:rPr>
              <w:fldChar w:fldCharType="end"/>
            </w:r>
            <w:r w:rsidR="00C142DF" w:rsidRPr="00B852FE">
              <w:rPr>
                <w:vanish/>
                <w:sz w:val="22"/>
                <w:szCs w:val="22"/>
                <w:lang w:val="en-US"/>
              </w:rPr>
              <w:t xml:space="preserve"> 1. Pojem, predmet, pramene obchodného práva</w:t>
            </w:r>
            <w:r w:rsidR="00C63858" w:rsidRPr="00B852FE">
              <w:rPr>
                <w:vanish/>
                <w:lang w:val="en-US"/>
              </w:rPr>
              <w:t xml:space="preserve">                                               2. Základné inštitúty obchodného práva (podnikanie, podnikateľ, podnik....)</w:t>
            </w:r>
          </w:p>
          <w:p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3. Právna ochrana hospodárskej súťaže</w:t>
            </w:r>
          </w:p>
          <w:p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4. Subjektívne a nesubjektívne formy podnikania</w:t>
            </w:r>
          </w:p>
          <w:p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5. Obchodné záväzkové vzťahy</w:t>
            </w:r>
          </w:p>
          <w:p w:rsidR="00C63858" w:rsidRPr="00B45FA6" w:rsidRDefault="00C63858" w:rsidP="000061FC">
            <w:pPr>
              <w:spacing w:after="0" w:line="240" w:lineRule="auto"/>
              <w:rPr>
                <w:rFonts w:ascii="Times New Roman" w:hAnsi="Times New Roman"/>
                <w:vanish/>
              </w:rPr>
            </w:pPr>
            <w:r w:rsidRPr="00B45FA6">
              <w:rPr>
                <w:rFonts w:ascii="Times New Roman" w:hAnsi="Times New Roman"/>
                <w:vanish/>
              </w:rPr>
              <w:t xml:space="preserve">                                               6. Zmluvná typológia podľa Obchodného zákonníka</w:t>
            </w:r>
          </w:p>
          <w:p w:rsidR="00813419" w:rsidRPr="00B45FA6" w:rsidRDefault="00C63858" w:rsidP="000061FC">
            <w:pPr>
              <w:spacing w:after="0" w:line="240" w:lineRule="auto"/>
              <w:rPr>
                <w:rFonts w:ascii="Times New Roman" w:eastAsia="Times New Roman" w:hAnsi="Times New Roman"/>
              </w:rPr>
            </w:pPr>
            <w:r w:rsidRPr="00B45FA6">
              <w:rPr>
                <w:rFonts w:ascii="Times New Roman" w:hAnsi="Times New Roman"/>
                <w:vanish/>
              </w:rPr>
              <w:t xml:space="preserve">                                               7. Konkurz a reštrukturalizácia. Verejné obstarávanie                  </w:t>
            </w:r>
          </w:p>
        </w:tc>
      </w:tr>
      <w:tr w:rsidR="00813419" w:rsidRPr="00B45FA6"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tcPr>
          <w:p w:rsidR="00813419" w:rsidRPr="00B45FA6" w:rsidRDefault="00813419" w:rsidP="000061FC">
            <w:pPr>
              <w:spacing w:after="0" w:line="240" w:lineRule="auto"/>
              <w:rPr>
                <w:rFonts w:ascii="Times New Roman" w:hAnsi="Times New Roman"/>
              </w:rPr>
            </w:pPr>
            <w:r w:rsidRPr="00B45FA6">
              <w:rPr>
                <w:rFonts w:ascii="Times New Roman" w:hAnsi="Times New Roman"/>
                <w:b/>
              </w:rPr>
              <w:t>Recommended Reading:</w:t>
            </w:r>
          </w:p>
          <w:p w:rsidR="00D254DD" w:rsidRDefault="004908C6" w:rsidP="000061FC">
            <w:pPr>
              <w:spacing w:after="0" w:line="240" w:lineRule="auto"/>
              <w:rPr>
                <w:rFonts w:ascii="Times New Roman" w:hAnsi="Times New Roman"/>
              </w:rPr>
            </w:pPr>
            <w:r w:rsidRPr="004908C6">
              <w:rPr>
                <w:rFonts w:ascii="Times New Roman" w:hAnsi="Times New Roman"/>
              </w:rPr>
              <w:t>ATKINSON</w:t>
            </w:r>
            <w:r>
              <w:rPr>
                <w:rFonts w:ascii="Times New Roman" w:hAnsi="Times New Roman"/>
              </w:rPr>
              <w:t>,</w:t>
            </w:r>
            <w:r w:rsidRPr="004908C6">
              <w:rPr>
                <w:rFonts w:ascii="Times New Roman" w:hAnsi="Times New Roman"/>
              </w:rPr>
              <w:t xml:space="preserve"> D. (ed.) </w:t>
            </w:r>
            <w:r w:rsidRPr="004908C6">
              <w:rPr>
                <w:rFonts w:ascii="Times New Roman" w:hAnsi="Times New Roman"/>
                <w:i/>
              </w:rPr>
              <w:t>EU law in criminal practice</w:t>
            </w:r>
            <w:r w:rsidRPr="004908C6">
              <w:rPr>
                <w:rFonts w:ascii="Times New Roman" w:hAnsi="Times New Roman"/>
              </w:rPr>
              <w:t>. Oxford: Oxford University Press, 2013.</w:t>
            </w:r>
          </w:p>
          <w:p w:rsidR="004908C6" w:rsidRDefault="004908C6" w:rsidP="000061FC">
            <w:pPr>
              <w:spacing w:after="0" w:line="240" w:lineRule="auto"/>
              <w:rPr>
                <w:rFonts w:ascii="Times New Roman" w:hAnsi="Times New Roman"/>
              </w:rPr>
            </w:pPr>
            <w:r w:rsidRPr="004908C6">
              <w:rPr>
                <w:rFonts w:ascii="Times New Roman" w:hAnsi="Times New Roman"/>
              </w:rPr>
              <w:t xml:space="preserve">KORDÍK M., GORYLOVÁ M., TURÁKOVÁ V. </w:t>
            </w:r>
            <w:r w:rsidRPr="004908C6">
              <w:rPr>
                <w:rFonts w:ascii="Times New Roman" w:hAnsi="Times New Roman"/>
                <w:i/>
              </w:rPr>
              <w:t>European criminal law</w:t>
            </w:r>
            <w:r w:rsidRPr="004908C6">
              <w:rPr>
                <w:rFonts w:ascii="Times New Roman" w:hAnsi="Times New Roman"/>
              </w:rPr>
              <w:t>. Bratislava: APZ, 2016. Available online</w:t>
            </w:r>
            <w:r>
              <w:rPr>
                <w:rFonts w:ascii="Times New Roman" w:hAnsi="Times New Roman"/>
              </w:rPr>
              <w:t xml:space="preserve"> at</w:t>
            </w:r>
            <w:r w:rsidRPr="004908C6">
              <w:rPr>
                <w:rFonts w:ascii="Times New Roman" w:hAnsi="Times New Roman"/>
              </w:rPr>
              <w:t>: https://www.akademiapz.sk/sites/default/files/KVPV/KTP/European%20criminal%20law_Textbook.pdf</w:t>
            </w:r>
          </w:p>
          <w:p w:rsidR="004908C6" w:rsidRDefault="004908C6" w:rsidP="000061FC">
            <w:pPr>
              <w:spacing w:after="0" w:line="240" w:lineRule="auto"/>
              <w:rPr>
                <w:rFonts w:ascii="Times New Roman" w:hAnsi="Times New Roman"/>
              </w:rPr>
            </w:pPr>
            <w:r>
              <w:rPr>
                <w:rFonts w:ascii="Times New Roman" w:hAnsi="Times New Roman"/>
              </w:rPr>
              <w:t xml:space="preserve">KLIP, A. </w:t>
            </w:r>
            <w:r>
              <w:rPr>
                <w:rFonts w:ascii="Times New Roman" w:hAnsi="Times New Roman"/>
                <w:i/>
              </w:rPr>
              <w:t xml:space="preserve">European Criminal Law. An Integrative Approach. </w:t>
            </w:r>
            <w:r w:rsidR="009B783B">
              <w:rPr>
                <w:rFonts w:ascii="Times New Roman" w:hAnsi="Times New Roman"/>
              </w:rPr>
              <w:t>3</w:t>
            </w:r>
            <w:r w:rsidR="009B783B">
              <w:rPr>
                <w:rFonts w:ascii="Times New Roman" w:hAnsi="Times New Roman"/>
                <w:vertAlign w:val="superscript"/>
              </w:rPr>
              <w:t>rd</w:t>
            </w:r>
            <w:r w:rsidR="009B783B">
              <w:rPr>
                <w:rFonts w:ascii="Times New Roman" w:hAnsi="Times New Roman"/>
              </w:rPr>
              <w:t xml:space="preserve"> ed. Cambridge; Antwerp; Portland: Intersentia, 2017.</w:t>
            </w:r>
          </w:p>
          <w:p w:rsidR="009B783B" w:rsidRPr="009B783B" w:rsidRDefault="009B783B" w:rsidP="000061FC">
            <w:pPr>
              <w:spacing w:after="0" w:line="240" w:lineRule="auto"/>
              <w:rPr>
                <w:rFonts w:ascii="Times New Roman" w:hAnsi="Times New Roman"/>
              </w:rPr>
            </w:pPr>
            <w:r>
              <w:rPr>
                <w:rFonts w:ascii="Times New Roman" w:hAnsi="Times New Roman"/>
              </w:rPr>
              <w:t xml:space="preserve">AMBOS, K. </w:t>
            </w:r>
            <w:r>
              <w:rPr>
                <w:rFonts w:ascii="Times New Roman" w:hAnsi="Times New Roman"/>
                <w:i/>
              </w:rPr>
              <w:t xml:space="preserve">European Criminal Law. </w:t>
            </w:r>
            <w:r>
              <w:rPr>
                <w:rFonts w:ascii="Times New Roman" w:hAnsi="Times New Roman"/>
              </w:rPr>
              <w:t>Cambridge: Cambridge University Press, 2018.</w:t>
            </w:r>
          </w:p>
        </w:tc>
      </w:tr>
      <w:tr w:rsidR="00813419" w:rsidRPr="00B45FA6"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B45FA6" w:rsidRDefault="00813419" w:rsidP="00782B30">
            <w:pPr>
              <w:spacing w:after="0" w:line="240" w:lineRule="auto"/>
              <w:rPr>
                <w:rFonts w:ascii="Times New Roman" w:eastAsia="Times New Roman" w:hAnsi="Times New Roman"/>
                <w:iCs/>
                <w:sz w:val="20"/>
                <w:szCs w:val="20"/>
              </w:rPr>
            </w:pPr>
            <w:r w:rsidRPr="00B45FA6">
              <w:rPr>
                <w:rFonts w:ascii="Times New Roman" w:hAnsi="Times New Roman"/>
                <w:b/>
                <w:sz w:val="20"/>
              </w:rPr>
              <w:t>Knowledge of Language Required to Successfully Complete the Course:</w:t>
            </w:r>
            <w:r w:rsidR="00782B30">
              <w:rPr>
                <w:rFonts w:ascii="Times New Roman" w:hAnsi="Times New Roman"/>
                <w:sz w:val="20"/>
              </w:rPr>
              <w:t xml:space="preserve"> </w:t>
            </w:r>
            <w:r w:rsidR="002613BD" w:rsidRPr="00B45FA6">
              <w:rPr>
                <w:rFonts w:ascii="Times New Roman" w:hAnsi="Times New Roman"/>
                <w:sz w:val="20"/>
              </w:rPr>
              <w:t>English</w:t>
            </w:r>
            <w:r w:rsidRPr="00B45FA6">
              <w:rPr>
                <w:rFonts w:ascii="Times New Roman" w:hAnsi="Times New Roman"/>
                <w:vanish/>
                <w:sz w:val="20"/>
              </w:rPr>
              <w:t>slovenský</w:t>
            </w:r>
          </w:p>
        </w:tc>
      </w:tr>
      <w:tr w:rsidR="00813419" w:rsidRPr="00B45FA6"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rsidR="00813419" w:rsidRPr="00B45FA6" w:rsidRDefault="00813419" w:rsidP="00D50446">
            <w:pPr>
              <w:spacing w:after="0" w:line="240" w:lineRule="auto"/>
              <w:rPr>
                <w:rFonts w:ascii="Times New Roman" w:eastAsia="Times New Roman" w:hAnsi="Times New Roman"/>
                <w:b/>
                <w:iCs/>
                <w:sz w:val="20"/>
                <w:szCs w:val="20"/>
              </w:rPr>
            </w:pPr>
            <w:r w:rsidRPr="00B45FA6">
              <w:rPr>
                <w:rFonts w:ascii="Times New Roman" w:hAnsi="Times New Roman"/>
                <w:b/>
                <w:sz w:val="20"/>
              </w:rPr>
              <w:t xml:space="preserve">Notes: </w:t>
            </w:r>
            <w:r w:rsidRPr="00B45FA6">
              <w:rPr>
                <w:rFonts w:ascii="Times New Roman" w:hAnsi="Times New Roman"/>
                <w:vanish/>
                <w:sz w:val="20"/>
              </w:rPr>
              <w:t>(odporúčam uvádzať len najnižší počet študentov pre PV a VP (obmedzenú kapacitu len v predmetoch realizovaných v špecifických podmienkach či špeciálnych učebniach). Napr.: Predmet sa poskytuje len ak si ho zapíše najmenej 10 (15?) študentov.</w:t>
            </w:r>
          </w:p>
        </w:tc>
      </w:tr>
      <w:tr w:rsidR="00813419" w:rsidRPr="00B45FA6" w:rsidTr="00813419">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rsidR="00FC1202" w:rsidRPr="00CE70A7" w:rsidRDefault="00813419" w:rsidP="009F2142">
            <w:pPr>
              <w:spacing w:after="0" w:line="240" w:lineRule="auto"/>
              <w:jc w:val="both"/>
              <w:rPr>
                <w:rFonts w:ascii="Times New Roman" w:hAnsi="Times New Roman"/>
                <w:b/>
                <w:iCs/>
              </w:rPr>
            </w:pPr>
            <w:r w:rsidRPr="00B45FA6">
              <w:rPr>
                <w:rFonts w:ascii="Times New Roman" w:hAnsi="Times New Roman"/>
                <w:b/>
              </w:rPr>
              <w:t>Course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81"/>
              <w:gridCol w:w="1781"/>
              <w:gridCol w:w="1781"/>
              <w:gridCol w:w="1783"/>
            </w:tblGrid>
            <w:tr w:rsidR="002613BD" w:rsidRPr="00B45FA6" w:rsidTr="00A005A5">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A</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B</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C</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D</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E</w:t>
                  </w:r>
                </w:p>
              </w:tc>
              <w:tc>
                <w:tcPr>
                  <w:tcW w:w="1801" w:type="dxa"/>
                  <w:tcBorders>
                    <w:top w:val="single" w:sz="4" w:space="0" w:color="auto"/>
                    <w:left w:val="single" w:sz="4" w:space="0" w:color="auto"/>
                    <w:bottom w:val="single" w:sz="4" w:space="0" w:color="auto"/>
                    <w:right w:val="single" w:sz="4" w:space="0" w:color="auto"/>
                  </w:tcBorders>
                </w:tcPr>
                <w:p w:rsidR="002613BD" w:rsidRPr="00B45FA6" w:rsidRDefault="00B45FA6" w:rsidP="00A005A5">
                  <w:pPr>
                    <w:spacing w:after="0" w:line="240" w:lineRule="auto"/>
                    <w:jc w:val="center"/>
                    <w:rPr>
                      <w:rFonts w:ascii="Times New Roman" w:eastAsia="Times New Roman" w:hAnsi="Times New Roman"/>
                      <w:sz w:val="20"/>
                      <w:szCs w:val="20"/>
                    </w:rPr>
                  </w:pPr>
                  <w:r w:rsidRPr="00B45FA6">
                    <w:rPr>
                      <w:rFonts w:ascii="Times New Roman" w:eastAsia="Times New Roman" w:hAnsi="Times New Roman"/>
                      <w:sz w:val="20"/>
                      <w:szCs w:val="20"/>
                    </w:rPr>
                    <w:t>FX</w:t>
                  </w:r>
                </w:p>
              </w:tc>
            </w:tr>
            <w:tr w:rsidR="00813419" w:rsidRPr="00B45FA6" w:rsidTr="009B12D1">
              <w:trPr>
                <w:hidden/>
              </w:trPr>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A</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B</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C</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D</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E</w:t>
                  </w:r>
                </w:p>
              </w:tc>
              <w:tc>
                <w:tcPr>
                  <w:tcW w:w="1801" w:type="dxa"/>
                  <w:tcBorders>
                    <w:top w:val="single" w:sz="4" w:space="0" w:color="auto"/>
                    <w:left w:val="single" w:sz="4" w:space="0" w:color="auto"/>
                    <w:bottom w:val="single" w:sz="4" w:space="0" w:color="auto"/>
                    <w:right w:val="single" w:sz="4" w:space="0" w:color="auto"/>
                  </w:tcBorders>
                  <w:hideMark/>
                </w:tcPr>
                <w:p w:rsidR="00813419" w:rsidRPr="00B45FA6" w:rsidRDefault="00813419" w:rsidP="009F2142">
                  <w:pPr>
                    <w:spacing w:after="0" w:line="240" w:lineRule="auto"/>
                    <w:jc w:val="center"/>
                    <w:rPr>
                      <w:rFonts w:ascii="Times New Roman" w:eastAsia="Times New Roman" w:hAnsi="Times New Roman"/>
                      <w:vanish/>
                      <w:sz w:val="20"/>
                      <w:szCs w:val="20"/>
                    </w:rPr>
                  </w:pPr>
                  <w:r w:rsidRPr="00B45FA6">
                    <w:rPr>
                      <w:rFonts w:ascii="Times New Roman" w:hAnsi="Times New Roman"/>
                      <w:vanish/>
                      <w:sz w:val="20"/>
                    </w:rPr>
                    <w:t>FX</w:t>
                  </w:r>
                </w:p>
              </w:tc>
            </w:tr>
            <w:tr w:rsidR="00813419" w:rsidRPr="00B45FA6" w:rsidTr="00D50446">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c>
                <w:tcPr>
                  <w:tcW w:w="1801" w:type="dxa"/>
                  <w:tcBorders>
                    <w:top w:val="single" w:sz="4" w:space="0" w:color="auto"/>
                    <w:left w:val="single" w:sz="4" w:space="0" w:color="auto"/>
                    <w:bottom w:val="single" w:sz="4" w:space="0" w:color="auto"/>
                    <w:right w:val="single" w:sz="4" w:space="0" w:color="auto"/>
                  </w:tcBorders>
                </w:tcPr>
                <w:p w:rsidR="00813419" w:rsidRPr="00B45FA6" w:rsidRDefault="00813419" w:rsidP="009F2142">
                  <w:pPr>
                    <w:spacing w:after="0" w:line="240" w:lineRule="auto"/>
                    <w:jc w:val="center"/>
                    <w:rPr>
                      <w:rFonts w:ascii="Times New Roman" w:eastAsia="Times New Roman" w:hAnsi="Times New Roman"/>
                      <w:sz w:val="20"/>
                      <w:szCs w:val="20"/>
                    </w:rPr>
                  </w:pPr>
                </w:p>
              </w:tc>
            </w:tr>
          </w:tbl>
          <w:p w:rsidR="00813419" w:rsidRPr="00B45FA6" w:rsidRDefault="00813419" w:rsidP="002A5153">
            <w:pPr>
              <w:spacing w:after="0" w:line="240" w:lineRule="auto"/>
              <w:jc w:val="both"/>
              <w:rPr>
                <w:rFonts w:ascii="Times New Roman" w:eastAsia="Times New Roman" w:hAnsi="Times New Roman"/>
                <w:b/>
                <w:iCs/>
              </w:rPr>
            </w:pPr>
          </w:p>
        </w:tc>
      </w:tr>
      <w:tr w:rsidR="00813419" w:rsidRPr="00B45FA6"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9B783B" w:rsidRDefault="00813419" w:rsidP="00A916D8">
            <w:pPr>
              <w:spacing w:after="0" w:line="240" w:lineRule="auto"/>
              <w:jc w:val="both"/>
              <w:rPr>
                <w:rFonts w:ascii="Times New Roman" w:hAnsi="Times New Roman"/>
              </w:rPr>
            </w:pPr>
            <w:r w:rsidRPr="00B45FA6">
              <w:rPr>
                <w:rFonts w:ascii="Times New Roman" w:hAnsi="Times New Roman"/>
                <w:b/>
              </w:rPr>
              <w:t>Provided by:</w:t>
            </w:r>
            <w:r w:rsidRPr="00B45FA6">
              <w:rPr>
                <w:rFonts w:ascii="Times New Roman" w:hAnsi="Times New Roman"/>
              </w:rPr>
              <w:t xml:space="preserve"> </w:t>
            </w:r>
            <w:r w:rsidR="00CE70A7">
              <w:rPr>
                <w:rFonts w:ascii="Times New Roman" w:hAnsi="Times New Roman"/>
              </w:rPr>
              <w:t xml:space="preserve">Assoc. Prof. </w:t>
            </w:r>
            <w:r w:rsidR="009B783B">
              <w:rPr>
                <w:rFonts w:ascii="Times New Roman" w:hAnsi="Times New Roman"/>
              </w:rPr>
              <w:t>JUDr. Veronika Marková, PhD.</w:t>
            </w:r>
          </w:p>
          <w:p w:rsidR="009B783B" w:rsidRDefault="009B783B" w:rsidP="009B783B">
            <w:pPr>
              <w:tabs>
                <w:tab w:val="left" w:pos="1201"/>
              </w:tabs>
              <w:spacing w:after="0" w:line="240" w:lineRule="auto"/>
              <w:jc w:val="both"/>
              <w:rPr>
                <w:rFonts w:ascii="Times New Roman" w:hAnsi="Times New Roman"/>
              </w:rPr>
            </w:pPr>
            <w:r>
              <w:rPr>
                <w:rFonts w:ascii="Times New Roman" w:hAnsi="Times New Roman"/>
              </w:rPr>
              <w:t xml:space="preserve">                       JUDr. Daniela Benedeková, PhD.</w:t>
            </w:r>
          </w:p>
          <w:p w:rsidR="00A916D8" w:rsidRPr="00B45FA6" w:rsidRDefault="009B783B" w:rsidP="009B783B">
            <w:pPr>
              <w:tabs>
                <w:tab w:val="left" w:pos="1201"/>
              </w:tabs>
              <w:spacing w:after="0" w:line="240" w:lineRule="auto"/>
              <w:jc w:val="both"/>
              <w:rPr>
                <w:rFonts w:ascii="Times New Roman" w:hAnsi="Times New Roman"/>
                <w:iCs/>
                <w:vanish/>
              </w:rPr>
            </w:pPr>
            <w:r>
              <w:rPr>
                <w:rFonts w:ascii="Times New Roman" w:hAnsi="Times New Roman"/>
              </w:rPr>
              <w:t xml:space="preserve">                       Mgr. Sebastián Janko</w:t>
            </w:r>
            <w:r w:rsidR="00CE70A7">
              <w:rPr>
                <w:rFonts w:ascii="Times New Roman" w:hAnsi="Times New Roman"/>
              </w:rPr>
              <w:t>, PhD.</w:t>
            </w:r>
            <w:r w:rsidR="00813419" w:rsidRPr="00B45FA6">
              <w:rPr>
                <w:rFonts w:ascii="Times New Roman" w:hAnsi="Times New Roman"/>
                <w:vanish/>
              </w:rPr>
              <w:t>Prednášky: Doc. JUDr. Milan Šmátrala, CSc.</w:t>
            </w:r>
          </w:p>
          <w:p w:rsidR="00982211" w:rsidRPr="00B45FA6" w:rsidRDefault="00982211" w:rsidP="00A916D8">
            <w:pPr>
              <w:spacing w:after="0" w:line="240" w:lineRule="auto"/>
              <w:jc w:val="both"/>
              <w:rPr>
                <w:rFonts w:ascii="Times New Roman" w:eastAsia="Times New Roman" w:hAnsi="Times New Roman"/>
                <w:b/>
                <w:vanish/>
              </w:rPr>
            </w:pPr>
            <w:r w:rsidRPr="00B45FA6">
              <w:rPr>
                <w:rFonts w:ascii="Times New Roman" w:hAnsi="Times New Roman"/>
                <w:vanish/>
              </w:rPr>
              <w:t xml:space="preserve">                   Cvičenia: Doc. JUDr. Milan Šmátrala, CSc., JUDr. Ing. Štefan Neszméry</w:t>
            </w:r>
          </w:p>
          <w:p w:rsidR="00724B65" w:rsidRPr="00B45FA6" w:rsidRDefault="00724B65" w:rsidP="002A5153">
            <w:pPr>
              <w:spacing w:after="0" w:line="240" w:lineRule="auto"/>
              <w:jc w:val="both"/>
              <w:rPr>
                <w:rFonts w:ascii="Times New Roman" w:eastAsia="Times New Roman" w:hAnsi="Times New Roman"/>
                <w:b/>
              </w:rPr>
            </w:pPr>
          </w:p>
        </w:tc>
      </w:tr>
      <w:tr w:rsidR="00813419" w:rsidRPr="00B45FA6"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B45FA6" w:rsidRDefault="00813419" w:rsidP="00CE70A7">
            <w:pPr>
              <w:spacing w:after="0" w:line="240" w:lineRule="auto"/>
              <w:jc w:val="both"/>
              <w:rPr>
                <w:rFonts w:ascii="Times New Roman" w:eastAsia="Times New Roman" w:hAnsi="Times New Roman"/>
                <w:b/>
                <w:iCs/>
              </w:rPr>
            </w:pPr>
            <w:r w:rsidRPr="00B45FA6">
              <w:rPr>
                <w:rFonts w:ascii="Times New Roman" w:hAnsi="Times New Roman"/>
                <w:b/>
              </w:rPr>
              <w:t>Date of Last Amendment:</w:t>
            </w:r>
            <w:r w:rsidRPr="00B45FA6">
              <w:rPr>
                <w:rFonts w:ascii="Times New Roman" w:hAnsi="Times New Roman"/>
              </w:rPr>
              <w:t xml:space="preserve"> </w:t>
            </w:r>
            <w:r w:rsidR="00CE70A7">
              <w:rPr>
                <w:rFonts w:ascii="Times New Roman" w:hAnsi="Times New Roman"/>
              </w:rPr>
              <w:t>January</w:t>
            </w:r>
            <w:r w:rsidR="00415E90">
              <w:rPr>
                <w:rFonts w:ascii="Times New Roman" w:hAnsi="Times New Roman"/>
              </w:rPr>
              <w:t xml:space="preserve"> </w:t>
            </w:r>
            <w:r w:rsidR="00CE70A7">
              <w:rPr>
                <w:rFonts w:ascii="Times New Roman" w:hAnsi="Times New Roman"/>
              </w:rPr>
              <w:t>26</w:t>
            </w:r>
            <w:r w:rsidR="002613BD" w:rsidRPr="00B45FA6">
              <w:rPr>
                <w:rFonts w:ascii="Times New Roman" w:hAnsi="Times New Roman"/>
                <w:vertAlign w:val="superscript"/>
              </w:rPr>
              <w:t>th</w:t>
            </w:r>
            <w:r w:rsidR="00CE70A7">
              <w:rPr>
                <w:rFonts w:ascii="Times New Roman" w:hAnsi="Times New Roman"/>
              </w:rPr>
              <w:t xml:space="preserve"> 2023</w:t>
            </w:r>
            <w:r w:rsidRPr="00B45FA6">
              <w:rPr>
                <w:rFonts w:ascii="Times New Roman" w:hAnsi="Times New Roman"/>
                <w:vanish/>
              </w:rPr>
              <w:t>15. 1. 2014</w:t>
            </w:r>
          </w:p>
        </w:tc>
      </w:tr>
      <w:tr w:rsidR="00813419" w:rsidRPr="004E7FA4"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rsidR="00813419" w:rsidRPr="00A916D8" w:rsidRDefault="00813419" w:rsidP="00A916D8">
            <w:pPr>
              <w:spacing w:after="0" w:line="240" w:lineRule="auto"/>
              <w:jc w:val="both"/>
              <w:rPr>
                <w:rFonts w:ascii="Times New Roman" w:eastAsia="Times New Roman" w:hAnsi="Times New Roman"/>
                <w:b/>
                <w:iCs/>
                <w:sz w:val="20"/>
                <w:szCs w:val="20"/>
              </w:rPr>
            </w:pPr>
            <w:r w:rsidRPr="00B45FA6">
              <w:rPr>
                <w:rFonts w:ascii="Times New Roman" w:hAnsi="Times New Roman"/>
                <w:b/>
              </w:rPr>
              <w:t>Approved by:</w:t>
            </w:r>
            <w:r>
              <w:rPr>
                <w:rFonts w:ascii="Times New Roman" w:hAnsi="Times New Roman"/>
              </w:rPr>
              <w:t xml:space="preserve">  </w:t>
            </w:r>
          </w:p>
        </w:tc>
      </w:tr>
    </w:tbl>
    <w:p w:rsidR="00813419" w:rsidRPr="004E7FA4" w:rsidRDefault="00813419" w:rsidP="00BF7BBA">
      <w:pPr>
        <w:rPr>
          <w:rFonts w:ascii="Times New Roman" w:eastAsia="Times New Roman" w:hAnsi="Times New Roman"/>
        </w:rPr>
      </w:pPr>
    </w:p>
    <w:sectPr w:rsidR="00813419" w:rsidRPr="004E7FA4" w:rsidSect="00D102AC">
      <w:pgSz w:w="11906" w:h="16838" w:code="9"/>
      <w:pgMar w:top="567"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6575"/>
    <w:multiLevelType w:val="hybridMultilevel"/>
    <w:tmpl w:val="2F3C8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61FC"/>
    <w:rsid w:val="000B403C"/>
    <w:rsid w:val="00115D5B"/>
    <w:rsid w:val="001204B6"/>
    <w:rsid w:val="00175475"/>
    <w:rsid w:val="00190FEC"/>
    <w:rsid w:val="001C12DF"/>
    <w:rsid w:val="001E2EE4"/>
    <w:rsid w:val="002526E6"/>
    <w:rsid w:val="002613BD"/>
    <w:rsid w:val="00284947"/>
    <w:rsid w:val="002A5153"/>
    <w:rsid w:val="002F0DB2"/>
    <w:rsid w:val="002F4B5C"/>
    <w:rsid w:val="00412912"/>
    <w:rsid w:val="00413BDE"/>
    <w:rsid w:val="00415E90"/>
    <w:rsid w:val="004908C6"/>
    <w:rsid w:val="004B2204"/>
    <w:rsid w:val="004E79B9"/>
    <w:rsid w:val="004E7FA4"/>
    <w:rsid w:val="00526799"/>
    <w:rsid w:val="00532884"/>
    <w:rsid w:val="005659B2"/>
    <w:rsid w:val="005945A1"/>
    <w:rsid w:val="005D1691"/>
    <w:rsid w:val="005E4179"/>
    <w:rsid w:val="006B2737"/>
    <w:rsid w:val="00724B65"/>
    <w:rsid w:val="00782B30"/>
    <w:rsid w:val="007A1AA5"/>
    <w:rsid w:val="00810668"/>
    <w:rsid w:val="00813419"/>
    <w:rsid w:val="00831788"/>
    <w:rsid w:val="008720F4"/>
    <w:rsid w:val="008E58E8"/>
    <w:rsid w:val="0090645A"/>
    <w:rsid w:val="009344DE"/>
    <w:rsid w:val="00973646"/>
    <w:rsid w:val="00982211"/>
    <w:rsid w:val="00993066"/>
    <w:rsid w:val="009B12D1"/>
    <w:rsid w:val="009B783B"/>
    <w:rsid w:val="009C49DE"/>
    <w:rsid w:val="009F2142"/>
    <w:rsid w:val="00A20557"/>
    <w:rsid w:val="00A916D8"/>
    <w:rsid w:val="00AA61AE"/>
    <w:rsid w:val="00AF4726"/>
    <w:rsid w:val="00B45FA6"/>
    <w:rsid w:val="00B57034"/>
    <w:rsid w:val="00B852FE"/>
    <w:rsid w:val="00BF7BBA"/>
    <w:rsid w:val="00C142DF"/>
    <w:rsid w:val="00C20664"/>
    <w:rsid w:val="00C625D7"/>
    <w:rsid w:val="00C63858"/>
    <w:rsid w:val="00C671F8"/>
    <w:rsid w:val="00CD791E"/>
    <w:rsid w:val="00CE5EEF"/>
    <w:rsid w:val="00CE70A7"/>
    <w:rsid w:val="00D01F10"/>
    <w:rsid w:val="00D102AC"/>
    <w:rsid w:val="00D254DD"/>
    <w:rsid w:val="00D50446"/>
    <w:rsid w:val="00E5147F"/>
    <w:rsid w:val="00EC27E5"/>
    <w:rsid w:val="00EF417C"/>
    <w:rsid w:val="00F67F5B"/>
    <w:rsid w:val="00FA333D"/>
    <w:rsid w:val="00FC1202"/>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A385"/>
  <w15:docId w15:val="{67588A42-DD2C-4A7E-B796-3F30C0E1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evChar">
    <w:name w:val="Název Char"/>
    <w:link w:val="Nzev"/>
    <w:rsid w:val="00813419"/>
    <w:rPr>
      <w:rFonts w:ascii="Times New Roman" w:eastAsia="Times New Roman" w:hAnsi="Times New Roman"/>
      <w:b/>
      <w:caps/>
      <w:sz w:val="28"/>
      <w:lang w:val="en-US" w:eastAsia="cs-CZ"/>
    </w:rPr>
  </w:style>
  <w:style w:type="paragraph" w:styleId="Odstavecseseznamem">
    <w:name w:val="List Paragraph"/>
    <w:basedOn w:val="Normln"/>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í text Char"/>
    <w:basedOn w:val="Standardnpsmoodstavce"/>
    <w:link w:val="Zkladntext"/>
    <w:rsid w:val="002613BD"/>
    <w:rPr>
      <w:rFonts w:ascii="Times New Roman" w:eastAsia="Times New Roman" w:hAnsi="Times New Roman"/>
      <w:b/>
      <w:bCs/>
      <w:sz w:val="24"/>
      <w:szCs w:val="24"/>
      <w:lang w:val="sk-SK" w:eastAsia="sk-SK" w:bidi="ar-SA"/>
    </w:rPr>
  </w:style>
  <w:style w:type="paragraph" w:styleId="Zpat">
    <w:name w:val="footer"/>
    <w:basedOn w:val="Normln"/>
    <w:link w:val="Zpat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ZpatChar">
    <w:name w:val="Zápatí Char"/>
    <w:basedOn w:val="Standardnpsmoodstavce"/>
    <w:link w:val="Zpat"/>
    <w:rsid w:val="002613BD"/>
    <w:rPr>
      <w:rFonts w:ascii="Times New Roman" w:eastAsia="Times New Roman" w:hAnsi="Times New Roman"/>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 w:id="1539930892">
      <w:bodyDiv w:val="1"/>
      <w:marLeft w:val="0"/>
      <w:marRight w:val="0"/>
      <w:marTop w:val="0"/>
      <w:marBottom w:val="0"/>
      <w:divBdr>
        <w:top w:val="none" w:sz="0" w:space="0" w:color="auto"/>
        <w:left w:val="none" w:sz="0" w:space="0" w:color="auto"/>
        <w:bottom w:val="none" w:sz="0" w:space="0" w:color="auto"/>
        <w:right w:val="none" w:sz="0" w:space="0" w:color="auto"/>
      </w:divBdr>
      <w:divsChild>
        <w:div w:id="93214815">
          <w:marLeft w:val="1080"/>
          <w:marRight w:val="0"/>
          <w:marTop w:val="100"/>
          <w:marBottom w:val="0"/>
          <w:divBdr>
            <w:top w:val="none" w:sz="0" w:space="0" w:color="auto"/>
            <w:left w:val="none" w:sz="0" w:space="0" w:color="auto"/>
            <w:bottom w:val="none" w:sz="0" w:space="0" w:color="auto"/>
            <w:right w:val="none" w:sz="0" w:space="0" w:color="auto"/>
          </w:divBdr>
        </w:div>
      </w:divsChild>
    </w:div>
    <w:div w:id="1596329349">
      <w:bodyDiv w:val="1"/>
      <w:marLeft w:val="0"/>
      <w:marRight w:val="0"/>
      <w:marTop w:val="0"/>
      <w:marBottom w:val="0"/>
      <w:divBdr>
        <w:top w:val="none" w:sz="0" w:space="0" w:color="auto"/>
        <w:left w:val="none" w:sz="0" w:space="0" w:color="auto"/>
        <w:bottom w:val="none" w:sz="0" w:space="0" w:color="auto"/>
        <w:right w:val="none" w:sz="0" w:space="0" w:color="auto"/>
      </w:divBdr>
      <w:divsChild>
        <w:div w:id="185160030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1C741-3644-4873-833E-32FA9AF10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1</TotalTime>
  <Pages>1</Pages>
  <Words>809</Words>
  <Characters>4613</Characters>
  <Application>Microsoft Office Word</Application>
  <DocSecurity>0</DocSecurity>
  <Lines>38</Lines>
  <Paragraphs>10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Miroslav Cajkovic</cp:lastModifiedBy>
  <cp:revision>4</cp:revision>
  <dcterms:created xsi:type="dcterms:W3CDTF">2023-02-20T12:10:00Z</dcterms:created>
  <dcterms:modified xsi:type="dcterms:W3CDTF">2023-03-25T16:01:00Z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8f41784b3456e2176c7103c9078dd21a5aea1301d6584613842284d3b25f0bda</vt:lpwstr>
  </property>
</Properties>
</file>