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D9D">
              <w:rPr>
                <w:rFonts w:ascii="Times New Roman" w:hAnsi="Times New Roman"/>
              </w:rPr>
              <w:t>Academy</w:t>
            </w:r>
            <w:proofErr w:type="spellEnd"/>
            <w:r w:rsidRPr="00695D9D">
              <w:rPr>
                <w:rFonts w:ascii="Times New Roman" w:hAnsi="Times New Roman"/>
              </w:rPr>
              <w:t xml:space="preserve"> </w:t>
            </w:r>
            <w:r w:rsidR="000A7B92" w:rsidRPr="00695D9D">
              <w:rPr>
                <w:rFonts w:ascii="Times New Roman" w:hAnsi="Times New Roman"/>
              </w:rPr>
              <w:t xml:space="preserve">of </w:t>
            </w:r>
            <w:proofErr w:type="spellStart"/>
            <w:r w:rsidR="000A7B92" w:rsidRPr="00695D9D">
              <w:rPr>
                <w:rFonts w:ascii="Times New Roman" w:hAnsi="Times New Roman"/>
              </w:rPr>
              <w:t>the</w:t>
            </w:r>
            <w:proofErr w:type="spellEnd"/>
            <w:r w:rsidR="000A7B92" w:rsidRPr="00695D9D">
              <w:rPr>
                <w:rFonts w:ascii="Times New Roman" w:hAnsi="Times New Roman"/>
              </w:rPr>
              <w:t xml:space="preserve"> Police </w:t>
            </w:r>
            <w:proofErr w:type="spellStart"/>
            <w:r w:rsidR="000A7B92" w:rsidRPr="00695D9D">
              <w:rPr>
                <w:rFonts w:ascii="Times New Roman" w:hAnsi="Times New Roman"/>
              </w:rPr>
              <w:t>Force</w:t>
            </w:r>
            <w:proofErr w:type="spellEnd"/>
            <w:r w:rsidR="000A7B92" w:rsidRPr="00695D9D">
              <w:rPr>
                <w:rFonts w:ascii="Times New Roman" w:hAnsi="Times New Roman"/>
              </w:rPr>
              <w:t xml:space="preserve"> </w:t>
            </w:r>
            <w:r w:rsidRPr="00695D9D">
              <w:rPr>
                <w:rFonts w:ascii="Times New Roman" w:hAnsi="Times New Roman"/>
              </w:rPr>
              <w:t>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BF7BBA">
              <w:rPr>
                <w:rFonts w:ascii="Times New Roman" w:hAnsi="Times New Roman"/>
                <w:b/>
              </w:rPr>
              <w:t xml:space="preserve"> </w:t>
            </w:r>
            <w:r w:rsidR="000A7B92" w:rsidRPr="00695D9D">
              <w:rPr>
                <w:rFonts w:ascii="Times New Roman" w:hAnsi="Times New Roman"/>
              </w:rPr>
              <w:t>832</w:t>
            </w:r>
            <w:r w:rsidR="008E512F">
              <w:rPr>
                <w:rFonts w:ascii="Times New Roman" w:hAnsi="Times New Roman"/>
              </w:rPr>
              <w:t xml:space="preserve"> 14 VP 3</w:t>
            </w:r>
            <w:r w:rsidR="00CE70A7" w:rsidRPr="00695D9D">
              <w:rPr>
                <w:rFonts w:ascii="Times New Roman" w:hAnsi="Times New Roman"/>
              </w:rPr>
              <w:t xml:space="preserve">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7A1AA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7A1AA5" w:rsidRPr="00695D9D">
              <w:rPr>
                <w:rFonts w:ascii="Times New Roman" w:hAnsi="Times New Roman"/>
              </w:rPr>
              <w:t>European</w:t>
            </w:r>
            <w:proofErr w:type="spellEnd"/>
            <w:r w:rsidR="007A1AA5" w:rsidRPr="00695D9D">
              <w:rPr>
                <w:rFonts w:ascii="Times New Roman" w:hAnsi="Times New Roman"/>
              </w:rPr>
              <w:t xml:space="preserve"> </w:t>
            </w:r>
            <w:proofErr w:type="spellStart"/>
            <w:r w:rsidR="007A1AA5" w:rsidRPr="00695D9D">
              <w:rPr>
                <w:rFonts w:ascii="Times New Roman" w:hAnsi="Times New Roman"/>
              </w:rPr>
              <w:t>Criminal</w:t>
            </w:r>
            <w:proofErr w:type="spellEnd"/>
            <w:r w:rsidR="007A1AA5" w:rsidRPr="00695D9D">
              <w:rPr>
                <w:rFonts w:ascii="Times New Roman" w:hAnsi="Times New Roman"/>
              </w:rPr>
              <w:t xml:space="preserve"> </w:t>
            </w:r>
            <w:proofErr w:type="spellStart"/>
            <w:r w:rsidR="00BF7BBA" w:rsidRPr="00695D9D">
              <w:rPr>
                <w:rFonts w:ascii="Times New Roman" w:hAnsi="Times New Roman"/>
              </w:rPr>
              <w:t>L</w:t>
            </w:r>
            <w:r w:rsidR="002613BD" w:rsidRPr="00695D9D">
              <w:rPr>
                <w:rFonts w:ascii="Times New Roman" w:hAnsi="Times New Roman"/>
              </w:rPr>
              <w:t>aw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 xml:space="preserve">Type, </w:t>
            </w:r>
            <w:proofErr w:type="spellStart"/>
            <w:r w:rsidRPr="00B45FA6">
              <w:rPr>
                <w:rFonts w:ascii="Times New Roman" w:hAnsi="Times New Roman"/>
                <w:b/>
              </w:rPr>
              <w:t>Extent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B45FA6">
              <w:rPr>
                <w:rFonts w:ascii="Times New Roman" w:hAnsi="Times New Roman"/>
                <w:b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Instruction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="00C20664" w:rsidRPr="00CE70A7">
              <w:rPr>
                <w:rFonts w:ascii="Times New Roman" w:hAnsi="Times New Roman"/>
                <w:b/>
              </w:rPr>
              <w:t>L</w:t>
            </w:r>
            <w:r w:rsidR="00CE5EEF">
              <w:rPr>
                <w:rFonts w:ascii="Times New Roman" w:hAnsi="Times New Roman"/>
                <w:b/>
              </w:rPr>
              <w:t>/E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CE70A7">
              <w:rPr>
                <w:rFonts w:ascii="Times New Roman" w:hAnsi="Times New Roman"/>
              </w:rPr>
              <w:t xml:space="preserve"> 1/1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hour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CE70A7">
              <w:rPr>
                <w:rFonts w:ascii="Times New Roman" w:hAnsi="Times New Roman"/>
              </w:rPr>
              <w:t xml:space="preserve">, </w:t>
            </w:r>
            <w:proofErr w:type="spellStart"/>
            <w:r w:rsidR="00CE70A7">
              <w:rPr>
                <w:rFonts w:ascii="Times New Roman" w:hAnsi="Times New Roman"/>
              </w:rPr>
              <w:t>exercises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</w:t>
            </w:r>
            <w:proofErr w:type="spellStart"/>
            <w:r w:rsidR="002613BD" w:rsidRPr="00B45FA6">
              <w:rPr>
                <w:rFonts w:ascii="Times New Roman" w:hAnsi="Times New Roman"/>
              </w:rPr>
              <w:t>week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Methods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Attendance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0A7B92">
              <w:rPr>
                <w:rFonts w:ascii="Times New Roman" w:hAnsi="Times New Roman"/>
              </w:rPr>
              <w:t>5</w:t>
            </w:r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5E4179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r w:rsidR="005E4179">
              <w:rPr>
                <w:rFonts w:ascii="Times New Roman" w:hAnsi="Times New Roman"/>
              </w:rPr>
              <w:t>6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Pre-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requisites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Requirements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813419" w:rsidRPr="00B45FA6" w:rsidRDefault="00D01F10" w:rsidP="00B45F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test and a </w:t>
            </w:r>
            <w:proofErr w:type="spellStart"/>
            <w:r w:rsidR="00C625D7">
              <w:rPr>
                <w:rFonts w:ascii="Times New Roman" w:hAnsi="Times New Roman"/>
              </w:rPr>
              <w:t>seminar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consisting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essay</w:t>
            </w:r>
            <w:proofErr w:type="spellEnd"/>
            <w:r w:rsidR="00C625D7">
              <w:rPr>
                <w:rFonts w:ascii="Times New Roman" w:hAnsi="Times New Roman"/>
              </w:rPr>
              <w:t xml:space="preserve"> on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provided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topics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well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its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presentation</w:t>
            </w:r>
            <w:proofErr w:type="spellEnd"/>
            <w:r w:rsidR="00C625D7">
              <w:rPr>
                <w:rFonts w:ascii="Times New Roman" w:hAnsi="Times New Roman"/>
              </w:rPr>
              <w:t xml:space="preserve">. Both test and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are </w:t>
            </w:r>
            <w:proofErr w:type="spellStart"/>
            <w:r w:rsidR="00C625D7">
              <w:rPr>
                <w:rFonts w:ascii="Times New Roman" w:hAnsi="Times New Roman"/>
              </w:rPr>
              <w:t>worth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up</w:t>
            </w:r>
            <w:proofErr w:type="spellEnd"/>
            <w:r w:rsidR="00C625D7">
              <w:rPr>
                <w:rFonts w:ascii="Times New Roman" w:hAnsi="Times New Roman"/>
              </w:rPr>
              <w:t xml:space="preserve"> to maximum of 50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.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grade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distribution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as </w:t>
            </w:r>
            <w:proofErr w:type="spellStart"/>
            <w:r w:rsidRPr="00B45FA6">
              <w:rPr>
                <w:rFonts w:ascii="Times New Roman" w:hAnsi="Times New Roman"/>
              </w:rPr>
              <w:t>follows</w:t>
            </w:r>
            <w:proofErr w:type="spellEnd"/>
            <w:r w:rsidRPr="00B45FA6">
              <w:rPr>
                <w:rFonts w:ascii="Times New Roman" w:hAnsi="Times New Roman"/>
              </w:rPr>
              <w:t xml:space="preserve">: A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94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B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86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C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76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D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66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and E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56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. A </w:t>
            </w:r>
            <w:proofErr w:type="spellStart"/>
            <w:r w:rsidRPr="00B45FA6">
              <w:rPr>
                <w:rFonts w:ascii="Times New Roman" w:hAnsi="Times New Roman"/>
              </w:rPr>
              <w:t>student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needs</w:t>
            </w:r>
            <w:proofErr w:type="spellEnd"/>
            <w:r w:rsidR="00C625D7">
              <w:rPr>
                <w:rFonts w:ascii="Times New Roman" w:hAnsi="Times New Roman"/>
              </w:rPr>
              <w:t xml:space="preserve"> to </w:t>
            </w:r>
            <w:proofErr w:type="spellStart"/>
            <w:r w:rsidR="00C625D7">
              <w:rPr>
                <w:rFonts w:ascii="Times New Roman" w:hAnsi="Times New Roman"/>
              </w:rPr>
              <w:t>earn</w:t>
            </w:r>
            <w:proofErr w:type="spellEnd"/>
            <w:r w:rsidR="00C625D7">
              <w:rPr>
                <w:rFonts w:ascii="Times New Roman" w:hAnsi="Times New Roman"/>
              </w:rPr>
              <w:t xml:space="preserve"> at </w:t>
            </w:r>
            <w:proofErr w:type="spellStart"/>
            <w:r w:rsidR="00C625D7">
              <w:rPr>
                <w:rFonts w:ascii="Times New Roman" w:hAnsi="Times New Roman"/>
              </w:rPr>
              <w:t>least</w:t>
            </w:r>
            <w:proofErr w:type="spellEnd"/>
            <w:r w:rsidR="00C625D7">
              <w:rPr>
                <w:rFonts w:ascii="Times New Roman" w:hAnsi="Times New Roman"/>
              </w:rPr>
              <w:t xml:space="preserve"> 28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 in </w:t>
            </w:r>
            <w:proofErr w:type="spellStart"/>
            <w:r w:rsidR="00C625D7">
              <w:rPr>
                <w:rFonts w:ascii="Times New Roman" w:hAnsi="Times New Roman"/>
              </w:rPr>
              <w:t>both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parts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continuous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assessment</w:t>
            </w:r>
            <w:proofErr w:type="spellEnd"/>
            <w:r w:rsidR="009C49DE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</w:rPr>
              <w:t xml:space="preserve"> A </w:t>
            </w:r>
            <w:proofErr w:type="spellStart"/>
            <w:r w:rsidRPr="00B45FA6">
              <w:rPr>
                <w:rFonts w:ascii="Times New Roman" w:hAnsi="Times New Roman"/>
              </w:rPr>
              <w:t>student's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admittance</w:t>
            </w:r>
            <w:proofErr w:type="spellEnd"/>
            <w:r w:rsidRPr="00B45FA6">
              <w:rPr>
                <w:rFonts w:ascii="Times New Roman" w:hAnsi="Times New Roman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</w:rPr>
              <w:t>an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pre-</w:t>
            </w:r>
            <w:proofErr w:type="spellStart"/>
            <w:r w:rsidRPr="00B45FA6">
              <w:rPr>
                <w:rFonts w:ascii="Times New Roman" w:hAnsi="Times New Roman"/>
              </w:rPr>
              <w:t>conditioned</w:t>
            </w:r>
            <w:proofErr w:type="spellEnd"/>
            <w:r w:rsidRPr="00B45FA6">
              <w:rPr>
                <w:rFonts w:ascii="Times New Roman" w:hAnsi="Times New Roman"/>
              </w:rPr>
              <w:t xml:space="preserve"> by </w:t>
            </w:r>
            <w:proofErr w:type="spellStart"/>
            <w:r w:rsidRPr="00B45FA6">
              <w:rPr>
                <w:rFonts w:ascii="Times New Roman" w:hAnsi="Times New Roman"/>
              </w:rPr>
              <w:t>his</w:t>
            </w:r>
            <w:proofErr w:type="spellEnd"/>
            <w:r w:rsidRPr="00B45FA6">
              <w:rPr>
                <w:rFonts w:ascii="Times New Roman" w:hAnsi="Times New Roman"/>
              </w:rPr>
              <w:t xml:space="preserve"> or </w:t>
            </w:r>
            <w:proofErr w:type="spellStart"/>
            <w:r w:rsidRPr="00B45FA6">
              <w:rPr>
                <w:rFonts w:ascii="Times New Roman" w:hAnsi="Times New Roman"/>
              </w:rPr>
              <w:t>her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meeting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conditions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prescribed</w:t>
            </w:r>
            <w:proofErr w:type="spellEnd"/>
            <w:r w:rsidRPr="00B45FA6">
              <w:rPr>
                <w:rFonts w:ascii="Times New Roman" w:hAnsi="Times New Roman"/>
              </w:rPr>
              <w:t xml:space="preserve"> for </w:t>
            </w:r>
            <w:proofErr w:type="spellStart"/>
            <w:r w:rsidRPr="00B45FA6">
              <w:rPr>
                <w:rFonts w:ascii="Times New Roman" w:hAnsi="Times New Roman"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</w:rPr>
              <w:t>.</w:t>
            </w:r>
          </w:p>
          <w:p w:rsidR="00D01F10" w:rsidRPr="00B45FA6" w:rsidRDefault="00D01F10" w:rsidP="00B45FA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Final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2613BD" w:rsidRPr="00B45FA6">
              <w:rPr>
                <w:rFonts w:ascii="Times New Roman" w:hAnsi="Times New Roman"/>
              </w:rPr>
              <w:t>Exam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„E</w:t>
            </w:r>
            <w:r w:rsidRPr="00B45FA6">
              <w:rPr>
                <w:rFonts w:ascii="Times New Roman" w:hAnsi="Times New Roman"/>
              </w:rPr>
              <w:t xml:space="preserve">“ -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result</w:t>
            </w:r>
            <w:proofErr w:type="spellEnd"/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8E58E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Student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pass</w:t>
            </w:r>
            <w:r w:rsidR="00CE70A7">
              <w:rPr>
                <w:rFonts w:ascii="Times New Roman" w:hAnsi="Times New Roman"/>
              </w:rPr>
              <w:t>ing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subject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will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acquire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knowledge</w:t>
            </w:r>
            <w:proofErr w:type="spellEnd"/>
            <w:r w:rsidR="009C49DE">
              <w:rPr>
                <w:rFonts w:ascii="Times New Roman" w:hAnsi="Times New Roman"/>
              </w:rPr>
              <w:t xml:space="preserve"> in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field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with</w:t>
            </w:r>
            <w:proofErr w:type="spellEnd"/>
            <w:r w:rsidR="009C49DE">
              <w:rPr>
                <w:rFonts w:ascii="Times New Roman" w:hAnsi="Times New Roman"/>
              </w:rPr>
              <w:t xml:space="preserve"> a </w:t>
            </w:r>
            <w:proofErr w:type="spellStart"/>
            <w:r w:rsidR="009C49DE">
              <w:rPr>
                <w:rFonts w:ascii="Times New Roman" w:hAnsi="Times New Roman"/>
              </w:rPr>
              <w:t>focus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influence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Union’s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legislation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national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substantive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well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procedure</w:t>
            </w:r>
            <w:proofErr w:type="spellEnd"/>
            <w:r w:rsidR="009C49DE">
              <w:rPr>
                <w:rFonts w:ascii="Times New Roman" w:hAnsi="Times New Roman"/>
              </w:rPr>
              <w:t xml:space="preserve">. </w:t>
            </w:r>
            <w:proofErr w:type="spellStart"/>
            <w:r w:rsidR="009C49DE">
              <w:rPr>
                <w:rFonts w:ascii="Times New Roman" w:hAnsi="Times New Roman"/>
              </w:rPr>
              <w:t>Emphasis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will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be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put</w:t>
            </w:r>
            <w:proofErr w:type="spellEnd"/>
            <w:r w:rsidR="009C49DE">
              <w:rPr>
                <w:rFonts w:ascii="Times New Roman" w:hAnsi="Times New Roman"/>
              </w:rPr>
              <w:t xml:space="preserve"> on</w:t>
            </w:r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provisions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concerning</w:t>
            </w:r>
            <w:proofErr w:type="spellEnd"/>
            <w:r w:rsidR="00175475">
              <w:rPr>
                <w:rFonts w:ascii="Times New Roman" w:hAnsi="Times New Roman"/>
              </w:rPr>
              <w:t xml:space="preserve"> minimum </w:t>
            </w:r>
            <w:proofErr w:type="spellStart"/>
            <w:r w:rsidR="00175475">
              <w:rPr>
                <w:rFonts w:ascii="Times New Roman" w:hAnsi="Times New Roman"/>
              </w:rPr>
              <w:t>standards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regarding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general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conditions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liability</w:t>
            </w:r>
            <w:proofErr w:type="spellEnd"/>
            <w:r w:rsidR="00175475">
              <w:rPr>
                <w:rFonts w:ascii="Times New Roman" w:hAnsi="Times New Roman"/>
              </w:rPr>
              <w:t>,</w:t>
            </w:r>
            <w:r w:rsidR="00CE70A7">
              <w:rPr>
                <w:rFonts w:ascii="Times New Roman" w:hAnsi="Times New Roman"/>
              </w:rPr>
              <w:t xml:space="preserve"> so-</w:t>
            </w:r>
            <w:proofErr w:type="spellStart"/>
            <w:r w:rsidR="00175475">
              <w:rPr>
                <w:rFonts w:ascii="Times New Roman" w:hAnsi="Times New Roman"/>
              </w:rPr>
              <w:t>called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crimes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fundamental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rights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subjects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procedure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selected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judicial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cooperation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matters</w:t>
            </w:r>
            <w:proofErr w:type="spellEnd"/>
            <w:r w:rsidR="00175475">
              <w:rPr>
                <w:rFonts w:ascii="Times New Roman" w:hAnsi="Times New Roman"/>
              </w:rPr>
              <w:t xml:space="preserve"> and </w:t>
            </w:r>
            <w:proofErr w:type="spellStart"/>
            <w:r w:rsidR="00175475">
              <w:rPr>
                <w:rFonts w:ascii="Times New Roman" w:hAnsi="Times New Roman"/>
              </w:rPr>
              <w:t>lastly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framework</w:t>
            </w:r>
            <w:proofErr w:type="spellEnd"/>
            <w:r w:rsidR="00175475">
              <w:rPr>
                <w:rFonts w:ascii="Times New Roman" w:hAnsi="Times New Roman"/>
              </w:rPr>
              <w:t xml:space="preserve"> for </w:t>
            </w:r>
            <w:proofErr w:type="spellStart"/>
            <w:r w:rsidR="00175475">
              <w:rPr>
                <w:rFonts w:ascii="Times New Roman" w:hAnsi="Times New Roman"/>
              </w:rPr>
              <w:t>combating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Union</w:t>
            </w:r>
            <w:proofErr w:type="spellEnd"/>
            <w:r w:rsidR="00175475">
              <w:rPr>
                <w:rFonts w:ascii="Times New Roman" w:hAnsi="Times New Roman"/>
              </w:rPr>
              <w:t xml:space="preserve">. </w:t>
            </w:r>
            <w:proofErr w:type="spellStart"/>
            <w:r w:rsidR="008E58E8">
              <w:rPr>
                <w:rFonts w:ascii="Times New Roman" w:hAnsi="Times New Roman"/>
              </w:rPr>
              <w:t>Analyses</w:t>
            </w:r>
            <w:proofErr w:type="spellEnd"/>
            <w:r w:rsidR="008E58E8">
              <w:rPr>
                <w:rFonts w:ascii="Times New Roman" w:hAnsi="Times New Roman"/>
              </w:rPr>
              <w:t xml:space="preserve"> of </w:t>
            </w:r>
            <w:proofErr w:type="spellStart"/>
            <w:r w:rsidR="008E58E8">
              <w:rPr>
                <w:rFonts w:ascii="Times New Roman" w:hAnsi="Times New Roman"/>
              </w:rPr>
              <w:t>important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CJEU’s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rulings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constitute</w:t>
            </w:r>
            <w:proofErr w:type="spellEnd"/>
            <w:r w:rsidR="008E58E8">
              <w:rPr>
                <w:rFonts w:ascii="Times New Roman" w:hAnsi="Times New Roman"/>
              </w:rPr>
              <w:t xml:space="preserve"> a </w:t>
            </w:r>
            <w:proofErr w:type="spellStart"/>
            <w:r w:rsidR="008E58E8">
              <w:rPr>
                <w:rFonts w:ascii="Times New Roman" w:hAnsi="Times New Roman"/>
              </w:rPr>
              <w:t>vital</w:t>
            </w:r>
            <w:proofErr w:type="spellEnd"/>
            <w:r w:rsidR="008E58E8">
              <w:rPr>
                <w:rFonts w:ascii="Times New Roman" w:hAnsi="Times New Roman"/>
              </w:rPr>
              <w:t xml:space="preserve"> part of </w:t>
            </w:r>
            <w:proofErr w:type="spellStart"/>
            <w:r w:rsidR="008E58E8">
              <w:rPr>
                <w:rFonts w:ascii="Times New Roman" w:hAnsi="Times New Roman"/>
              </w:rPr>
              <w:t>the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course</w:t>
            </w:r>
            <w:proofErr w:type="spellEnd"/>
            <w:r w:rsidR="008E58E8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European Criminal Law and its historical development.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>
              <w:rPr>
                <w:sz w:val="22"/>
                <w:szCs w:val="22"/>
                <w:lang w:val="en-US"/>
              </w:rPr>
              <w:t>europeanisation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of criminal law in the context of </w:t>
            </w:r>
            <w:r w:rsidR="00CE70A7">
              <w:rPr>
                <w:sz w:val="22"/>
                <w:szCs w:val="22"/>
                <w:lang w:val="en-US"/>
              </w:rPr>
              <w:t xml:space="preserve">the </w:t>
            </w:r>
            <w:r>
              <w:rPr>
                <w:sz w:val="22"/>
                <w:szCs w:val="22"/>
                <w:lang w:val="en-US"/>
              </w:rPr>
              <w:t>European Union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CJEU and its influence on the development of European Criminal Law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Substantive European Criminal Law</w:t>
            </w:r>
            <w:r w:rsidR="000B403C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 xml:space="preserve"> - basic principles of criminal liability in the context of EU Charter of Fundamental rights, criminal liability of legal persons,</w:t>
            </w:r>
            <w:r w:rsidR="000B403C">
              <w:rPr>
                <w:sz w:val="22"/>
                <w:szCs w:val="22"/>
                <w:lang w:val="en-US"/>
              </w:rPr>
              <w:t xml:space="preserve"> harmonization of criminal punishments.</w:t>
            </w:r>
          </w:p>
          <w:p w:rsidR="00C142DF" w:rsidRP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Substantive European Criminal Law II - selected </w:t>
            </w:r>
            <w:proofErr w:type="spellStart"/>
            <w:r>
              <w:rPr>
                <w:sz w:val="22"/>
                <w:szCs w:val="22"/>
                <w:lang w:val="en-US"/>
              </w:rPr>
              <w:t>european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crimes: terrorism, human trafficking, money laundering, illicit drug trafficking, racism and xenophobia, environmental crime, organized crime.</w:t>
            </w:r>
          </w:p>
          <w:p w:rsid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Procedural European Criminal Law I </w:t>
            </w:r>
            <w:r w:rsidR="001C12DF">
              <w:rPr>
                <w:sz w:val="22"/>
                <w:szCs w:val="22"/>
                <w:lang w:val="en-US"/>
              </w:rPr>
              <w:t xml:space="preserve">- </w:t>
            </w:r>
            <w:r w:rsidR="001C12DF" w:rsidRPr="00C142DF">
              <w:rPr>
                <w:sz w:val="22"/>
                <w:szCs w:val="22"/>
                <w:lang w:val="en-US"/>
              </w:rPr>
              <w:t>basic</w:t>
            </w:r>
            <w:r>
              <w:rPr>
                <w:sz w:val="22"/>
                <w:szCs w:val="22"/>
                <w:lang w:val="en-US"/>
              </w:rPr>
              <w:t xml:space="preserve"> rights of accused persons: right to a fair trial, presumption of innocence, </w:t>
            </w:r>
            <w:r>
              <w:rPr>
                <w:i/>
                <w:sz w:val="22"/>
                <w:szCs w:val="22"/>
                <w:lang w:val="en-US"/>
              </w:rPr>
              <w:t xml:space="preserve">ne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bis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in idem</w:t>
            </w:r>
            <w:r>
              <w:rPr>
                <w:sz w:val="22"/>
                <w:szCs w:val="22"/>
                <w:lang w:val="en-US"/>
              </w:rPr>
              <w:t xml:space="preserve">, right to information </w:t>
            </w:r>
            <w:r w:rsidR="001C12DF"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 xml:space="preserve"> criminal proceeding, right to be present at the trial</w:t>
            </w:r>
            <w:r w:rsidR="001C12DF">
              <w:rPr>
                <w:sz w:val="22"/>
                <w:szCs w:val="22"/>
                <w:lang w:val="en-US"/>
              </w:rPr>
              <w:t>; protection of the victims of crime.</w:t>
            </w:r>
          </w:p>
          <w:p w:rsidR="001C12DF" w:rsidRPr="00C142DF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Procedural European Criminal Law II - selected instruments of judicial cooperation in criminal matters - European Arrest Warrant, European Investigation Order, Order Freezing Property or Evidence, cross border surveillance.</w:t>
            </w:r>
          </w:p>
          <w:p w:rsidR="00C63858" w:rsidRPr="00B852FE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vanish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Institutional framework for combating crime in EU - joint investigation teams, EUROPOL, </w:t>
            </w:r>
            <w:proofErr w:type="spellStart"/>
            <w:r>
              <w:rPr>
                <w:sz w:val="22"/>
                <w:szCs w:val="22"/>
                <w:lang w:val="en-US"/>
              </w:rPr>
              <w:t>Eurojust</w:t>
            </w:r>
            <w:proofErr w:type="spellEnd"/>
            <w:r>
              <w:rPr>
                <w:sz w:val="22"/>
                <w:szCs w:val="22"/>
                <w:lang w:val="en-US"/>
              </w:rPr>
              <w:t>, OLAF.</w:t>
            </w:r>
            <w:r w:rsidR="00C142DF" w:rsidRPr="00B852FE"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142DF" w:rsidRPr="00B852F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A10E6F">
              <w:rPr>
                <w:sz w:val="22"/>
                <w:szCs w:val="22"/>
                <w:lang w:val="en-US"/>
              </w:rPr>
            </w:r>
            <w:r w:rsidR="00A10E6F">
              <w:rPr>
                <w:sz w:val="22"/>
                <w:szCs w:val="22"/>
                <w:lang w:val="en-US"/>
              </w:rPr>
              <w:fldChar w:fldCharType="separate"/>
            </w:r>
            <w:r w:rsidR="00C142DF" w:rsidRPr="00B852FE">
              <w:rPr>
                <w:sz w:val="22"/>
                <w:szCs w:val="22"/>
                <w:lang w:val="en-US"/>
              </w:rPr>
              <w:fldChar w:fldCharType="end"/>
            </w:r>
            <w:r w:rsidR="00C142DF" w:rsidRPr="00B852FE">
              <w:rPr>
                <w:vanish/>
                <w:sz w:val="22"/>
                <w:szCs w:val="22"/>
                <w:lang w:val="en-US"/>
              </w:rPr>
              <w:t xml:space="preserve"> 1. Pojem, predmet, pramene obchodného práva</w:t>
            </w:r>
            <w:r w:rsidR="00C63858" w:rsidRPr="00B852FE">
              <w:rPr>
                <w:vanish/>
                <w:lang w:val="en-US"/>
              </w:rPr>
              <w:t xml:space="preserve">                                               2. Základné inštitúty obchodného práva (podnikanie, podnikateľ, podnik....)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Reading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D254DD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>ATKINSON</w:t>
            </w:r>
            <w:r>
              <w:rPr>
                <w:rFonts w:ascii="Times New Roman" w:hAnsi="Times New Roman"/>
              </w:rPr>
              <w:t>,</w:t>
            </w:r>
            <w:r w:rsidRPr="004908C6">
              <w:rPr>
                <w:rFonts w:ascii="Times New Roman" w:hAnsi="Times New Roman"/>
              </w:rPr>
              <w:t xml:space="preserve"> D. (</w:t>
            </w:r>
            <w:proofErr w:type="spellStart"/>
            <w:r w:rsidRPr="004908C6">
              <w:rPr>
                <w:rFonts w:ascii="Times New Roman" w:hAnsi="Times New Roman"/>
              </w:rPr>
              <w:t>ed</w:t>
            </w:r>
            <w:proofErr w:type="spellEnd"/>
            <w:r w:rsidRPr="004908C6">
              <w:rPr>
                <w:rFonts w:ascii="Times New Roman" w:hAnsi="Times New Roman"/>
              </w:rPr>
              <w:t xml:space="preserve">.) </w:t>
            </w:r>
            <w:r w:rsidRPr="004908C6">
              <w:rPr>
                <w:rFonts w:ascii="Times New Roman" w:hAnsi="Times New Roman"/>
                <w:i/>
              </w:rPr>
              <w:t xml:space="preserve">EU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practice</w:t>
            </w:r>
            <w:proofErr w:type="spellEnd"/>
            <w:r w:rsidRPr="004908C6">
              <w:rPr>
                <w:rFonts w:ascii="Times New Roman" w:hAnsi="Times New Roman"/>
              </w:rPr>
              <w:t xml:space="preserve">.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: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</w:rPr>
              <w:t>University</w:t>
            </w:r>
            <w:proofErr w:type="spellEnd"/>
            <w:r w:rsidRPr="004908C6">
              <w:rPr>
                <w:rFonts w:ascii="Times New Roman" w:hAnsi="Times New Roman"/>
              </w:rPr>
              <w:t xml:space="preserve"> Press, 2013.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 xml:space="preserve">KORDÍK M., GORYLOVÁ M., TURÁKOVÁ V. </w:t>
            </w:r>
            <w:proofErr w:type="spellStart"/>
            <w:r w:rsidRPr="004908C6">
              <w:rPr>
                <w:rFonts w:ascii="Times New Roman" w:hAnsi="Times New Roman"/>
                <w:i/>
              </w:rPr>
              <w:t>European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</w:rPr>
              <w:t xml:space="preserve">. Bratislava: APZ, 2016. </w:t>
            </w:r>
            <w:proofErr w:type="spellStart"/>
            <w:r w:rsidRPr="004908C6">
              <w:rPr>
                <w:rFonts w:ascii="Times New Roman" w:hAnsi="Times New Roman"/>
              </w:rPr>
              <w:t>Available</w:t>
            </w:r>
            <w:proofErr w:type="spellEnd"/>
            <w:r w:rsidRPr="004908C6">
              <w:rPr>
                <w:rFonts w:ascii="Times New Roman" w:hAnsi="Times New Roman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 at</w:t>
            </w:r>
            <w:r w:rsidRPr="004908C6">
              <w:rPr>
                <w:rFonts w:ascii="Times New Roman" w:hAnsi="Times New Roman"/>
              </w:rPr>
              <w:t>: https://www.akademiapz.sk/sites/default/files/KVPV/KTP/European%20criminal%20law_Textbook.pdf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KLIP, A.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Integrative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Approach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r w:rsidR="009B783B">
              <w:rPr>
                <w:rFonts w:ascii="Times New Roman" w:hAnsi="Times New Roman"/>
              </w:rPr>
              <w:t>3</w:t>
            </w:r>
            <w:r w:rsidR="009B783B">
              <w:rPr>
                <w:rFonts w:ascii="Times New Roman" w:hAnsi="Times New Roman"/>
                <w:vertAlign w:val="superscript"/>
              </w:rPr>
              <w:t>rd</w:t>
            </w:r>
            <w:r w:rsidR="009B783B">
              <w:rPr>
                <w:rFonts w:ascii="Times New Roman" w:hAnsi="Times New Roman"/>
              </w:rPr>
              <w:t xml:space="preserve"> </w:t>
            </w:r>
            <w:proofErr w:type="spellStart"/>
            <w:r w:rsidR="009B783B">
              <w:rPr>
                <w:rFonts w:ascii="Times New Roman" w:hAnsi="Times New Roman"/>
              </w:rPr>
              <w:t>ed</w:t>
            </w:r>
            <w:proofErr w:type="spellEnd"/>
            <w:r w:rsidR="009B783B">
              <w:rPr>
                <w:rFonts w:ascii="Times New Roman" w:hAnsi="Times New Roman"/>
              </w:rPr>
              <w:t xml:space="preserve">. </w:t>
            </w:r>
            <w:proofErr w:type="spellStart"/>
            <w:r w:rsidR="009B783B">
              <w:rPr>
                <w:rFonts w:ascii="Times New Roman" w:hAnsi="Times New Roman"/>
              </w:rPr>
              <w:t>Cambridge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Antwerp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Portland</w:t>
            </w:r>
            <w:proofErr w:type="spellEnd"/>
            <w:r w:rsidR="009B783B">
              <w:rPr>
                <w:rFonts w:ascii="Times New Roman" w:hAnsi="Times New Roman"/>
              </w:rPr>
              <w:t xml:space="preserve">: </w:t>
            </w:r>
            <w:proofErr w:type="spellStart"/>
            <w:r w:rsidR="009B783B">
              <w:rPr>
                <w:rFonts w:ascii="Times New Roman" w:hAnsi="Times New Roman"/>
              </w:rPr>
              <w:t>Intersentia</w:t>
            </w:r>
            <w:proofErr w:type="spellEnd"/>
            <w:r w:rsidR="009B783B">
              <w:rPr>
                <w:rFonts w:ascii="Times New Roman" w:hAnsi="Times New Roman"/>
              </w:rPr>
              <w:t>, 2017.</w:t>
            </w:r>
          </w:p>
          <w:p w:rsidR="009B783B" w:rsidRPr="009B783B" w:rsidRDefault="009B783B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AMBOS, K.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University</w:t>
            </w:r>
            <w:proofErr w:type="spellEnd"/>
            <w:r>
              <w:rPr>
                <w:rFonts w:ascii="Times New Roman" w:hAnsi="Times New Roman"/>
              </w:rPr>
              <w:t xml:space="preserve"> Press, 2018.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782B3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Knowledge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Language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Required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Successfully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Complete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the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>:</w:t>
            </w:r>
            <w:r w:rsidR="00782B3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202" w:rsidRPr="00CE70A7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B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Assoc</w:t>
            </w:r>
            <w:proofErr w:type="spellEnd"/>
            <w:r w:rsidR="00CE70A7">
              <w:rPr>
                <w:rFonts w:ascii="Times New Roman" w:hAnsi="Times New Roman"/>
              </w:rPr>
              <w:t xml:space="preserve">. Prof. </w:t>
            </w:r>
            <w:r w:rsidR="009B783B">
              <w:rPr>
                <w:rFonts w:ascii="Times New Roman" w:hAnsi="Times New Roman"/>
              </w:rPr>
              <w:t>JUDr. Veronika Marková, PhD.</w:t>
            </w:r>
          </w:p>
          <w:p w:rsidR="009B783B" w:rsidRDefault="009B783B" w:rsidP="009B783B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JUDr. Daniela </w:t>
            </w:r>
            <w:proofErr w:type="spellStart"/>
            <w:r>
              <w:rPr>
                <w:rFonts w:ascii="Times New Roman" w:hAnsi="Times New Roman"/>
              </w:rPr>
              <w:t>Benedeková</w:t>
            </w:r>
            <w:proofErr w:type="spellEnd"/>
            <w:r>
              <w:rPr>
                <w:rFonts w:ascii="Times New Roman" w:hAnsi="Times New Roman"/>
              </w:rPr>
              <w:t>, PhD.</w:t>
            </w:r>
          </w:p>
          <w:p w:rsidR="00A916D8" w:rsidRPr="00B45FA6" w:rsidRDefault="009B783B" w:rsidP="009B783B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vanish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A10E6F" w:rsidRPr="00A10E6F">
              <w:rPr>
                <w:rFonts w:ascii="Times New Roman" w:hAnsi="Times New Roman"/>
              </w:rPr>
              <w:t xml:space="preserve">JUDr. Mgr. Zuzana Medelská Tkáčová, PhD. </w:t>
            </w:r>
            <w:r w:rsidR="00813419" w:rsidRPr="00B45FA6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B45FA6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CE7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A10E6F">
              <w:rPr>
                <w:rFonts w:ascii="Times New Roman" w:hAnsi="Times New Roman"/>
              </w:rPr>
              <w:t>August,  2024</w:t>
            </w:r>
            <w:bookmarkStart w:id="0" w:name="_GoBack"/>
            <w:bookmarkEnd w:id="0"/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Approved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D102AC">
      <w:pgSz w:w="11906" w:h="16838" w:code="9"/>
      <w:pgMar w:top="567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0A7B92"/>
    <w:rsid w:val="000B403C"/>
    <w:rsid w:val="00115D5B"/>
    <w:rsid w:val="001204B6"/>
    <w:rsid w:val="00175475"/>
    <w:rsid w:val="00190FEC"/>
    <w:rsid w:val="001C12DF"/>
    <w:rsid w:val="001E2EE4"/>
    <w:rsid w:val="002526E6"/>
    <w:rsid w:val="002613BD"/>
    <w:rsid w:val="00284947"/>
    <w:rsid w:val="002A5153"/>
    <w:rsid w:val="002F0DB2"/>
    <w:rsid w:val="002F4B5C"/>
    <w:rsid w:val="00412912"/>
    <w:rsid w:val="00415E90"/>
    <w:rsid w:val="004908C6"/>
    <w:rsid w:val="004B2204"/>
    <w:rsid w:val="004E79B9"/>
    <w:rsid w:val="004E7FA4"/>
    <w:rsid w:val="00526799"/>
    <w:rsid w:val="00532884"/>
    <w:rsid w:val="005945A1"/>
    <w:rsid w:val="00597AE5"/>
    <w:rsid w:val="005D1691"/>
    <w:rsid w:val="005E4179"/>
    <w:rsid w:val="00695D9D"/>
    <w:rsid w:val="006B2737"/>
    <w:rsid w:val="00724B65"/>
    <w:rsid w:val="00782B30"/>
    <w:rsid w:val="007A1AA5"/>
    <w:rsid w:val="00810668"/>
    <w:rsid w:val="00813419"/>
    <w:rsid w:val="00831788"/>
    <w:rsid w:val="008720F4"/>
    <w:rsid w:val="008E512F"/>
    <w:rsid w:val="008E58E8"/>
    <w:rsid w:val="0090645A"/>
    <w:rsid w:val="009344DE"/>
    <w:rsid w:val="00973646"/>
    <w:rsid w:val="00982211"/>
    <w:rsid w:val="00993066"/>
    <w:rsid w:val="009B12D1"/>
    <w:rsid w:val="009B783B"/>
    <w:rsid w:val="009C49DE"/>
    <w:rsid w:val="009F2142"/>
    <w:rsid w:val="00A10E6F"/>
    <w:rsid w:val="00A20557"/>
    <w:rsid w:val="00A916D8"/>
    <w:rsid w:val="00AA61AE"/>
    <w:rsid w:val="00AF4726"/>
    <w:rsid w:val="00B45FA6"/>
    <w:rsid w:val="00B57034"/>
    <w:rsid w:val="00B852FE"/>
    <w:rsid w:val="00BF7BBA"/>
    <w:rsid w:val="00C142DF"/>
    <w:rsid w:val="00C20664"/>
    <w:rsid w:val="00C625D7"/>
    <w:rsid w:val="00C63858"/>
    <w:rsid w:val="00C671F8"/>
    <w:rsid w:val="00CD791E"/>
    <w:rsid w:val="00CE5EEF"/>
    <w:rsid w:val="00CE70A7"/>
    <w:rsid w:val="00D01F10"/>
    <w:rsid w:val="00D102AC"/>
    <w:rsid w:val="00D254DD"/>
    <w:rsid w:val="00D50446"/>
    <w:rsid w:val="00E5147F"/>
    <w:rsid w:val="00EC27E5"/>
    <w:rsid w:val="00EF417C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A448"/>
  <w15:docId w15:val="{67588A42-DD2C-4A7E-B796-3F30C0E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0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D978-9CEC-463D-99E5-6BE0312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2</cp:revision>
  <dcterms:created xsi:type="dcterms:W3CDTF">2024-08-20T06:56:00Z</dcterms:created>
  <dcterms:modified xsi:type="dcterms:W3CDTF">2024-08-20T06:56:00Z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8f41784b3456e2176c7103c9078dd21a5aea1301d6584613842284d3b25f0bda</vt:lpwstr>
  </property>
</Properties>
</file>