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21B57" w14:textId="710CC196" w:rsidR="00A66747" w:rsidRPr="00D60D03" w:rsidRDefault="00C14E5C" w:rsidP="00A66747">
      <w:pPr>
        <w:rPr>
          <w:rFonts w:ascii="Times New Roman" w:hAnsi="Times New Roman" w:cs="Times New Roman"/>
          <w:bCs/>
          <w:sz w:val="24"/>
          <w:szCs w:val="24"/>
        </w:rPr>
      </w:pPr>
      <w:r>
        <w:rPr>
          <w:rFonts w:ascii="Times New Roman" w:hAnsi="Times New Roman" w:cs="Times New Roman"/>
          <w:bCs/>
          <w:sz w:val="24"/>
          <w:szCs w:val="24"/>
        </w:rPr>
        <w:t>Vladimíra Hudecová</w:t>
      </w:r>
      <w:r w:rsidR="00B43BE1">
        <w:rPr>
          <w:rFonts w:ascii="Times New Roman" w:hAnsi="Times New Roman" w:cs="Times New Roman"/>
          <w:bCs/>
          <w:sz w:val="24"/>
          <w:szCs w:val="24"/>
        </w:rPr>
        <w:t xml:space="preserve">, Michal </w:t>
      </w:r>
      <w:proofErr w:type="spellStart"/>
      <w:r w:rsidR="00B43BE1">
        <w:rPr>
          <w:rFonts w:ascii="Times New Roman" w:hAnsi="Times New Roman" w:cs="Times New Roman"/>
          <w:bCs/>
          <w:sz w:val="24"/>
          <w:szCs w:val="24"/>
        </w:rPr>
        <w:t>Šimunek</w:t>
      </w:r>
      <w:proofErr w:type="spellEnd"/>
    </w:p>
    <w:p w14:paraId="3B92F5AF" w14:textId="094EE132" w:rsidR="007116A4" w:rsidRDefault="007116A4" w:rsidP="007116A4">
      <w:pPr>
        <w:spacing w:after="0" w:line="240" w:lineRule="auto"/>
        <w:jc w:val="center"/>
        <w:rPr>
          <w:rFonts w:asciiTheme="majorBidi" w:hAnsiTheme="majorBidi" w:cstheme="majorBidi"/>
          <w:b/>
          <w:sz w:val="28"/>
          <w:szCs w:val="28"/>
        </w:rPr>
      </w:pPr>
      <w:bookmarkStart w:id="0" w:name="_GoBack"/>
      <w:r>
        <w:rPr>
          <w:rFonts w:asciiTheme="majorBidi" w:hAnsiTheme="majorBidi" w:cstheme="majorBidi"/>
          <w:b/>
          <w:sz w:val="28"/>
          <w:szCs w:val="28"/>
        </w:rPr>
        <w:t>Z</w:t>
      </w:r>
      <w:r w:rsidR="0090622F">
        <w:rPr>
          <w:rFonts w:asciiTheme="majorBidi" w:hAnsiTheme="majorBidi" w:cstheme="majorBidi"/>
          <w:b/>
          <w:sz w:val="28"/>
          <w:szCs w:val="28"/>
        </w:rPr>
        <w:t>vyšovanie bezpečnosti cestnej premávky</w:t>
      </w:r>
      <w:r>
        <w:rPr>
          <w:rFonts w:asciiTheme="majorBidi" w:hAnsiTheme="majorBidi" w:cstheme="majorBidi"/>
          <w:b/>
          <w:sz w:val="28"/>
          <w:szCs w:val="28"/>
        </w:rPr>
        <w:t xml:space="preserve"> v EÚ prostredníctvom </w:t>
      </w:r>
    </w:p>
    <w:p w14:paraId="08AF9394" w14:textId="1159C2CD" w:rsidR="0003170C" w:rsidRDefault="007116A4" w:rsidP="007116A4">
      <w:pPr>
        <w:spacing w:after="0" w:line="240" w:lineRule="auto"/>
        <w:jc w:val="center"/>
        <w:rPr>
          <w:rFonts w:asciiTheme="majorBidi" w:hAnsiTheme="majorBidi" w:cstheme="majorBidi"/>
          <w:b/>
          <w:sz w:val="28"/>
          <w:szCs w:val="28"/>
        </w:rPr>
      </w:pPr>
      <w:r>
        <w:rPr>
          <w:rFonts w:asciiTheme="majorBidi" w:hAnsiTheme="majorBidi" w:cstheme="majorBidi"/>
          <w:b/>
          <w:sz w:val="28"/>
          <w:szCs w:val="28"/>
        </w:rPr>
        <w:t>Smernice</w:t>
      </w:r>
      <w:r w:rsidRPr="007116A4">
        <w:rPr>
          <w:rFonts w:asciiTheme="majorBidi" w:hAnsiTheme="majorBidi" w:cstheme="majorBidi"/>
          <w:b/>
          <w:sz w:val="28"/>
          <w:szCs w:val="28"/>
        </w:rPr>
        <w:t xml:space="preserve"> </w:t>
      </w:r>
      <w:r>
        <w:rPr>
          <w:rFonts w:asciiTheme="majorBidi" w:hAnsiTheme="majorBidi" w:cstheme="majorBidi"/>
          <w:b/>
          <w:sz w:val="28"/>
          <w:szCs w:val="28"/>
        </w:rPr>
        <w:t>o cezhraničnej výmene informácií</w:t>
      </w:r>
    </w:p>
    <w:p w14:paraId="102B1D32" w14:textId="77777777" w:rsidR="0090622F" w:rsidRDefault="0090622F" w:rsidP="0090622F">
      <w:pPr>
        <w:spacing w:after="0" w:line="240" w:lineRule="auto"/>
        <w:jc w:val="center"/>
        <w:rPr>
          <w:rFonts w:asciiTheme="majorBidi" w:hAnsiTheme="majorBidi" w:cstheme="majorBidi"/>
          <w:b/>
          <w:sz w:val="28"/>
          <w:szCs w:val="28"/>
        </w:rPr>
      </w:pPr>
    </w:p>
    <w:bookmarkEnd w:id="0"/>
    <w:p w14:paraId="6C9694CD" w14:textId="5528600E" w:rsidR="00C14E5C" w:rsidRPr="00C14E5C" w:rsidRDefault="00D60D03" w:rsidP="00C14E5C">
      <w:pPr>
        <w:spacing w:after="0" w:line="240" w:lineRule="auto"/>
        <w:jc w:val="both"/>
        <w:rPr>
          <w:rFonts w:ascii="Times New Roman" w:hAnsi="Times New Roman" w:cs="Times New Roman"/>
          <w:sz w:val="20"/>
          <w:szCs w:val="20"/>
        </w:rPr>
      </w:pPr>
      <w:r w:rsidRPr="00AB39B2">
        <w:rPr>
          <w:rFonts w:ascii="Times New Roman" w:hAnsi="Times New Roman" w:cs="Times New Roman"/>
          <w:b/>
          <w:sz w:val="20"/>
          <w:szCs w:val="20"/>
        </w:rPr>
        <w:t xml:space="preserve">Anotácia: </w:t>
      </w:r>
      <w:r w:rsidR="001557C5" w:rsidRPr="00B54CD8">
        <w:rPr>
          <w:rFonts w:ascii="Times New Roman" w:hAnsi="Times New Roman" w:cs="Times New Roman"/>
          <w:sz w:val="20"/>
          <w:szCs w:val="20"/>
        </w:rPr>
        <w:t>Autori</w:t>
      </w:r>
      <w:r w:rsidR="007D5CDB">
        <w:rPr>
          <w:rFonts w:ascii="Times New Roman" w:hAnsi="Times New Roman" w:cs="Times New Roman"/>
          <w:sz w:val="20"/>
          <w:szCs w:val="20"/>
        </w:rPr>
        <w:t xml:space="preserve"> </w:t>
      </w:r>
      <w:r w:rsidR="00564294" w:rsidRPr="00B54CD8">
        <w:rPr>
          <w:rFonts w:ascii="Times New Roman" w:hAnsi="Times New Roman" w:cs="Times New Roman"/>
          <w:sz w:val="20"/>
          <w:szCs w:val="20"/>
        </w:rPr>
        <w:t>v predkladanom</w:t>
      </w:r>
      <w:r w:rsidRPr="00B54CD8">
        <w:rPr>
          <w:rFonts w:ascii="Times New Roman" w:hAnsi="Times New Roman" w:cs="Times New Roman"/>
          <w:sz w:val="20"/>
          <w:szCs w:val="20"/>
        </w:rPr>
        <w:t xml:space="preserve"> príspevku</w:t>
      </w:r>
      <w:r w:rsidR="007D5CDB">
        <w:rPr>
          <w:rFonts w:ascii="Times New Roman" w:hAnsi="Times New Roman" w:cs="Times New Roman"/>
          <w:sz w:val="20"/>
          <w:szCs w:val="20"/>
        </w:rPr>
        <w:t xml:space="preserve"> analyzujú</w:t>
      </w:r>
      <w:r w:rsidR="00C14E5C">
        <w:rPr>
          <w:rFonts w:ascii="Times New Roman" w:hAnsi="Times New Roman" w:cs="Times New Roman"/>
          <w:sz w:val="20"/>
          <w:szCs w:val="20"/>
        </w:rPr>
        <w:t xml:space="preserve"> </w:t>
      </w:r>
      <w:r w:rsidR="007D5CDB">
        <w:rPr>
          <w:rFonts w:ascii="Times New Roman" w:hAnsi="Times New Roman" w:cs="Times New Roman"/>
          <w:sz w:val="20"/>
          <w:szCs w:val="20"/>
        </w:rPr>
        <w:t xml:space="preserve">vývoj Smernice </w:t>
      </w:r>
      <w:r w:rsidR="007D5CDB" w:rsidRPr="00C9597F">
        <w:rPr>
          <w:rFonts w:ascii="Times New Roman" w:hAnsi="Times New Roman" w:cs="Times New Roman"/>
          <w:sz w:val="20"/>
          <w:szCs w:val="20"/>
        </w:rPr>
        <w:t>Európskeho parlamentu a Rady (EÚ) 2015/413 z 11. marca 2015, ktorou sa uľahčuje cezhraničná výmena informácií o dopravných deliktoch súvisiacich s bezpečnosťou cestnej premávky</w:t>
      </w:r>
      <w:r w:rsidR="007116A4" w:rsidRPr="007116A4">
        <w:rPr>
          <w:rFonts w:ascii="Times New Roman" w:hAnsi="Times New Roman" w:cs="Times New Roman"/>
          <w:sz w:val="20"/>
          <w:szCs w:val="20"/>
        </w:rPr>
        <w:t xml:space="preserve"> </w:t>
      </w:r>
      <w:r w:rsidR="007116A4">
        <w:rPr>
          <w:rFonts w:ascii="Times New Roman" w:hAnsi="Times New Roman" w:cs="Times New Roman"/>
          <w:sz w:val="20"/>
          <w:szCs w:val="20"/>
        </w:rPr>
        <w:t>(ďalej len „Smernica CBE)</w:t>
      </w:r>
      <w:r w:rsidR="007D5CDB">
        <w:rPr>
          <w:rFonts w:ascii="Times New Roman" w:hAnsi="Times New Roman" w:cs="Times New Roman"/>
          <w:sz w:val="20"/>
          <w:szCs w:val="20"/>
        </w:rPr>
        <w:t>, ktorej revízia</w:t>
      </w:r>
      <w:r w:rsidR="00C14E5C">
        <w:rPr>
          <w:rFonts w:ascii="Times New Roman" w:hAnsi="Times New Roman" w:cs="Times New Roman"/>
          <w:sz w:val="20"/>
          <w:szCs w:val="20"/>
        </w:rPr>
        <w:t xml:space="preserve"> je v súčasnej dobe (marec 2023) predmetom rokovaní pracovnej skupiny Rady</w:t>
      </w:r>
      <w:r w:rsidR="007D5CDB">
        <w:rPr>
          <w:rFonts w:ascii="Times New Roman" w:hAnsi="Times New Roman" w:cs="Times New Roman"/>
          <w:sz w:val="20"/>
          <w:szCs w:val="20"/>
        </w:rPr>
        <w:t xml:space="preserve"> EÚ</w:t>
      </w:r>
      <w:r w:rsidR="00C14E5C">
        <w:rPr>
          <w:rFonts w:ascii="Times New Roman" w:hAnsi="Times New Roman" w:cs="Times New Roman"/>
          <w:sz w:val="20"/>
          <w:szCs w:val="20"/>
        </w:rPr>
        <w:t xml:space="preserve"> pre pozemnú dopravu. </w:t>
      </w:r>
      <w:r w:rsidR="00C14E5C" w:rsidRPr="00C14E5C">
        <w:rPr>
          <w:rFonts w:ascii="Times New Roman" w:hAnsi="Times New Roman" w:cs="Times New Roman"/>
          <w:sz w:val="20"/>
          <w:szCs w:val="20"/>
        </w:rPr>
        <w:t xml:space="preserve">Príspevok </w:t>
      </w:r>
      <w:r w:rsidR="007116A4">
        <w:rPr>
          <w:rFonts w:ascii="Times New Roman" w:hAnsi="Times New Roman" w:cs="Times New Roman"/>
          <w:sz w:val="20"/>
          <w:szCs w:val="20"/>
        </w:rPr>
        <w:t>poukazuje</w:t>
      </w:r>
      <w:r w:rsidR="007D5CDB">
        <w:rPr>
          <w:rFonts w:ascii="Times New Roman" w:hAnsi="Times New Roman" w:cs="Times New Roman"/>
          <w:sz w:val="20"/>
          <w:szCs w:val="20"/>
        </w:rPr>
        <w:t xml:space="preserve"> </w:t>
      </w:r>
      <w:r w:rsidR="007116A4">
        <w:rPr>
          <w:rFonts w:ascii="Times New Roman" w:hAnsi="Times New Roman" w:cs="Times New Roman"/>
          <w:sz w:val="20"/>
          <w:szCs w:val="20"/>
        </w:rPr>
        <w:t xml:space="preserve">na jej </w:t>
      </w:r>
      <w:r w:rsidR="007D5CDB">
        <w:rPr>
          <w:rFonts w:ascii="Times New Roman" w:hAnsi="Times New Roman" w:cs="Times New Roman"/>
          <w:sz w:val="20"/>
          <w:szCs w:val="20"/>
        </w:rPr>
        <w:t>hlavný prínos</w:t>
      </w:r>
      <w:r w:rsidR="007116A4">
        <w:rPr>
          <w:rFonts w:ascii="Times New Roman" w:hAnsi="Times New Roman" w:cs="Times New Roman"/>
          <w:sz w:val="20"/>
          <w:szCs w:val="20"/>
        </w:rPr>
        <w:t>, za ktorý</w:t>
      </w:r>
      <w:r w:rsidR="007D5CDB">
        <w:rPr>
          <w:rFonts w:ascii="Times New Roman" w:hAnsi="Times New Roman" w:cs="Times New Roman"/>
          <w:sz w:val="20"/>
          <w:szCs w:val="20"/>
        </w:rPr>
        <w:t xml:space="preserve"> je</w:t>
      </w:r>
      <w:r w:rsidR="007116A4">
        <w:rPr>
          <w:rFonts w:ascii="Times New Roman" w:hAnsi="Times New Roman" w:cs="Times New Roman"/>
          <w:sz w:val="20"/>
          <w:szCs w:val="20"/>
        </w:rPr>
        <w:t xml:space="preserve"> považovaná</w:t>
      </w:r>
      <w:r w:rsidR="007D5CDB">
        <w:rPr>
          <w:rFonts w:ascii="Times New Roman" w:hAnsi="Times New Roman" w:cs="Times New Roman"/>
          <w:sz w:val="20"/>
          <w:szCs w:val="20"/>
        </w:rPr>
        <w:t xml:space="preserve"> </w:t>
      </w:r>
      <w:r w:rsidR="007116A4">
        <w:rPr>
          <w:rFonts w:ascii="Times New Roman" w:hAnsi="Times New Roman" w:cs="Times New Roman"/>
          <w:sz w:val="20"/>
          <w:szCs w:val="20"/>
        </w:rPr>
        <w:t xml:space="preserve">najmä </w:t>
      </w:r>
      <w:r w:rsidR="007D5CDB">
        <w:rPr>
          <w:rFonts w:ascii="Times New Roman" w:hAnsi="Times New Roman" w:cs="Times New Roman"/>
          <w:sz w:val="20"/>
          <w:szCs w:val="20"/>
        </w:rPr>
        <w:t xml:space="preserve">automatizácia výmeny informácií medzi </w:t>
      </w:r>
      <w:r w:rsidR="007116A4">
        <w:rPr>
          <w:rFonts w:ascii="Times New Roman" w:hAnsi="Times New Roman" w:cs="Times New Roman"/>
          <w:sz w:val="20"/>
          <w:szCs w:val="20"/>
        </w:rPr>
        <w:t xml:space="preserve">členskými štátmi EÚ. Smernicu CBE možno charakterizovať </w:t>
      </w:r>
      <w:r w:rsidR="00C14E5C" w:rsidRPr="00C14E5C">
        <w:rPr>
          <w:rFonts w:ascii="Times New Roman" w:hAnsi="Times New Roman" w:cs="Times New Roman"/>
          <w:sz w:val="20"/>
          <w:szCs w:val="20"/>
        </w:rPr>
        <w:t xml:space="preserve">ako </w:t>
      </w:r>
      <w:r w:rsidR="00037565">
        <w:rPr>
          <w:rFonts w:ascii="Times New Roman" w:hAnsi="Times New Roman" w:cs="Times New Roman"/>
          <w:sz w:val="20"/>
          <w:szCs w:val="20"/>
        </w:rPr>
        <w:t>jeden z najúčinnejších</w:t>
      </w:r>
      <w:r w:rsidR="00C14E5C" w:rsidRPr="00C14E5C">
        <w:rPr>
          <w:rFonts w:ascii="Times New Roman" w:hAnsi="Times New Roman" w:cs="Times New Roman"/>
          <w:sz w:val="20"/>
          <w:szCs w:val="20"/>
        </w:rPr>
        <w:t xml:space="preserve"> nástroj</w:t>
      </w:r>
      <w:r w:rsidR="00037565">
        <w:rPr>
          <w:rFonts w:ascii="Times New Roman" w:hAnsi="Times New Roman" w:cs="Times New Roman"/>
          <w:sz w:val="20"/>
          <w:szCs w:val="20"/>
        </w:rPr>
        <w:t>ov</w:t>
      </w:r>
      <w:r w:rsidR="00C14E5C" w:rsidRPr="00C14E5C">
        <w:rPr>
          <w:rFonts w:ascii="Times New Roman" w:hAnsi="Times New Roman" w:cs="Times New Roman"/>
          <w:sz w:val="20"/>
          <w:szCs w:val="20"/>
        </w:rPr>
        <w:t xml:space="preserve"> prevencie dopravných priestupkov cezhraničného rozsahu.</w:t>
      </w:r>
    </w:p>
    <w:p w14:paraId="17F0A7A8" w14:textId="065C95B3" w:rsidR="00C14E5C" w:rsidRDefault="00C14E5C" w:rsidP="00473DC3">
      <w:pPr>
        <w:spacing w:after="0" w:line="240" w:lineRule="auto"/>
        <w:jc w:val="both"/>
        <w:rPr>
          <w:rFonts w:ascii="Times New Roman" w:hAnsi="Times New Roman" w:cs="Times New Roman"/>
          <w:sz w:val="20"/>
          <w:szCs w:val="20"/>
        </w:rPr>
      </w:pPr>
    </w:p>
    <w:p w14:paraId="0ADB6629" w14:textId="77777777" w:rsidR="00D81D7B" w:rsidRPr="00AB39B2" w:rsidRDefault="00D81D7B" w:rsidP="00473DC3">
      <w:pPr>
        <w:spacing w:after="0" w:line="240" w:lineRule="auto"/>
        <w:jc w:val="both"/>
        <w:rPr>
          <w:rFonts w:ascii="Times New Roman" w:hAnsi="Times New Roman" w:cs="Times New Roman"/>
          <w:sz w:val="20"/>
          <w:szCs w:val="20"/>
        </w:rPr>
      </w:pPr>
    </w:p>
    <w:p w14:paraId="1EAD2C4C" w14:textId="21F5CBBE" w:rsidR="00706907" w:rsidRDefault="00A66747" w:rsidP="00473DC3">
      <w:pPr>
        <w:spacing w:line="240" w:lineRule="auto"/>
        <w:jc w:val="both"/>
        <w:rPr>
          <w:rFonts w:ascii="Times New Roman" w:hAnsi="Times New Roman" w:cs="Times New Roman"/>
          <w:bCs/>
          <w:sz w:val="20"/>
          <w:szCs w:val="20"/>
        </w:rPr>
      </w:pPr>
      <w:r w:rsidRPr="00AB39B2">
        <w:rPr>
          <w:rFonts w:ascii="Times New Roman" w:hAnsi="Times New Roman" w:cs="Times New Roman"/>
          <w:b/>
          <w:sz w:val="20"/>
          <w:szCs w:val="20"/>
        </w:rPr>
        <w:t xml:space="preserve">Kľúčové slová: </w:t>
      </w:r>
      <w:r w:rsidR="00037565">
        <w:rPr>
          <w:rFonts w:ascii="Times New Roman" w:hAnsi="Times New Roman" w:cs="Times New Roman"/>
          <w:bCs/>
          <w:sz w:val="20"/>
          <w:szCs w:val="20"/>
        </w:rPr>
        <w:t>d</w:t>
      </w:r>
      <w:r w:rsidR="00037565" w:rsidRPr="00037565">
        <w:rPr>
          <w:rFonts w:ascii="Times New Roman" w:hAnsi="Times New Roman" w:cs="Times New Roman"/>
          <w:bCs/>
          <w:sz w:val="20"/>
          <w:szCs w:val="20"/>
        </w:rPr>
        <w:t>opravné priestupky, úmrtnosť, vymožiteľnosť sankcií, výmena informácií, EUCARIS</w:t>
      </w:r>
    </w:p>
    <w:p w14:paraId="6D95EE6B" w14:textId="77777777" w:rsidR="00071500" w:rsidRPr="00AB39B2" w:rsidRDefault="00071500" w:rsidP="001E47F4">
      <w:pPr>
        <w:spacing w:after="0" w:line="240" w:lineRule="auto"/>
        <w:jc w:val="both"/>
        <w:rPr>
          <w:rFonts w:ascii="Times New Roman" w:hAnsi="Times New Roman" w:cs="Times New Roman"/>
          <w:bCs/>
          <w:sz w:val="20"/>
          <w:szCs w:val="20"/>
        </w:rPr>
      </w:pPr>
    </w:p>
    <w:p w14:paraId="74F63FBD" w14:textId="77777777" w:rsidR="00C106D0" w:rsidRPr="000D5519" w:rsidRDefault="00C106D0" w:rsidP="000D5519">
      <w:pPr>
        <w:spacing w:after="0"/>
        <w:rPr>
          <w:rFonts w:ascii="Times New Roman" w:hAnsi="Times New Roman" w:cs="Times New Roman"/>
          <w:b/>
          <w:sz w:val="24"/>
          <w:szCs w:val="24"/>
        </w:rPr>
      </w:pPr>
      <w:r w:rsidRPr="000D5519">
        <w:rPr>
          <w:rFonts w:ascii="Times New Roman" w:hAnsi="Times New Roman" w:cs="Times New Roman"/>
          <w:b/>
          <w:sz w:val="24"/>
          <w:szCs w:val="24"/>
        </w:rPr>
        <w:t>Úvod</w:t>
      </w:r>
    </w:p>
    <w:p w14:paraId="225D416D" w14:textId="7A820ABB" w:rsidR="005E5ECB" w:rsidRPr="005E5ECB" w:rsidRDefault="005E5ECB" w:rsidP="00F37B62">
      <w:pPr>
        <w:spacing w:after="0" w:line="240" w:lineRule="auto"/>
        <w:ind w:firstLine="709"/>
        <w:jc w:val="both"/>
        <w:rPr>
          <w:rFonts w:ascii="Times New Roman" w:hAnsi="Times New Roman" w:cs="Times New Roman"/>
          <w:sz w:val="24"/>
          <w:szCs w:val="24"/>
        </w:rPr>
      </w:pPr>
      <w:r w:rsidRPr="005E5ECB">
        <w:rPr>
          <w:rFonts w:ascii="Times New Roman" w:hAnsi="Times New Roman" w:cs="Times New Roman"/>
          <w:sz w:val="24"/>
          <w:szCs w:val="24"/>
        </w:rPr>
        <w:t xml:space="preserve">Zvyšovanie bezpečnosti na cestách </w:t>
      </w:r>
      <w:r w:rsidR="00F37B62">
        <w:rPr>
          <w:rFonts w:ascii="Times New Roman" w:hAnsi="Times New Roman" w:cs="Times New Roman"/>
          <w:sz w:val="24"/>
          <w:szCs w:val="24"/>
        </w:rPr>
        <w:t>je súčasťou agendy</w:t>
      </w:r>
      <w:r w:rsidRPr="005E5ECB">
        <w:rPr>
          <w:rFonts w:ascii="Times New Roman" w:hAnsi="Times New Roman" w:cs="Times New Roman"/>
          <w:sz w:val="24"/>
          <w:szCs w:val="24"/>
        </w:rPr>
        <w:t xml:space="preserve"> EÚ už </w:t>
      </w:r>
      <w:r w:rsidR="00015838">
        <w:rPr>
          <w:rFonts w:ascii="Times New Roman" w:hAnsi="Times New Roman" w:cs="Times New Roman"/>
          <w:sz w:val="24"/>
          <w:szCs w:val="24"/>
        </w:rPr>
        <w:t>po desaťročia. Medzi</w:t>
      </w:r>
      <w:r w:rsidR="00401536">
        <w:rPr>
          <w:rFonts w:ascii="Times New Roman" w:hAnsi="Times New Roman" w:cs="Times New Roman"/>
          <w:sz w:val="24"/>
          <w:szCs w:val="24"/>
        </w:rPr>
        <w:t> </w:t>
      </w:r>
      <w:r w:rsidR="00015838">
        <w:rPr>
          <w:rFonts w:ascii="Times New Roman" w:hAnsi="Times New Roman" w:cs="Times New Roman"/>
          <w:sz w:val="24"/>
          <w:szCs w:val="24"/>
        </w:rPr>
        <w:t>najaktuálnejšie dokumenty</w:t>
      </w:r>
      <w:r w:rsidR="007D5CDB">
        <w:rPr>
          <w:rFonts w:ascii="Times New Roman" w:hAnsi="Times New Roman" w:cs="Times New Roman"/>
          <w:sz w:val="24"/>
          <w:szCs w:val="24"/>
        </w:rPr>
        <w:t xml:space="preserve"> z dielne EÚ</w:t>
      </w:r>
      <w:r w:rsidRPr="005E5ECB">
        <w:rPr>
          <w:rFonts w:ascii="Times New Roman" w:hAnsi="Times New Roman" w:cs="Times New Roman"/>
          <w:sz w:val="24"/>
          <w:szCs w:val="24"/>
        </w:rPr>
        <w:t xml:space="preserve"> patrí Rámec politiky bezpečnosti cestnej </w:t>
      </w:r>
      <w:r w:rsidR="00015838">
        <w:rPr>
          <w:rFonts w:ascii="Times New Roman" w:hAnsi="Times New Roman" w:cs="Times New Roman"/>
          <w:sz w:val="24"/>
          <w:szCs w:val="24"/>
        </w:rPr>
        <w:t>premávky na </w:t>
      </w:r>
      <w:r>
        <w:rPr>
          <w:rFonts w:ascii="Times New Roman" w:hAnsi="Times New Roman" w:cs="Times New Roman"/>
          <w:sz w:val="24"/>
          <w:szCs w:val="24"/>
        </w:rPr>
        <w:t xml:space="preserve">obdobie 2021 </w:t>
      </w:r>
      <w:r w:rsidR="0075663E">
        <w:rPr>
          <w:rFonts w:ascii="Times New Roman" w:hAnsi="Times New Roman" w:cs="Times New Roman"/>
          <w:sz w:val="24"/>
          <w:szCs w:val="24"/>
        </w:rPr>
        <w:t>–</w:t>
      </w:r>
      <w:r>
        <w:rPr>
          <w:rFonts w:ascii="Times New Roman" w:hAnsi="Times New Roman" w:cs="Times New Roman"/>
          <w:sz w:val="24"/>
          <w:szCs w:val="24"/>
        </w:rPr>
        <w:t xml:space="preserve"> 2030 s </w:t>
      </w:r>
      <w:r w:rsidRPr="005E5ECB">
        <w:rPr>
          <w:rFonts w:ascii="Times New Roman" w:hAnsi="Times New Roman" w:cs="Times New Roman"/>
          <w:sz w:val="24"/>
          <w:szCs w:val="24"/>
        </w:rPr>
        <w:t>podnázvom „Ďalšie kroky smerom k naplneniu vízie nulovej úmrtnosti“</w:t>
      </w:r>
      <w:r w:rsidR="00F37B62">
        <w:rPr>
          <w:rStyle w:val="Odkaznapoznmkupodiarou"/>
          <w:rFonts w:ascii="Times New Roman" w:hAnsi="Times New Roman" w:cs="Times New Roman"/>
          <w:sz w:val="24"/>
          <w:szCs w:val="24"/>
        </w:rPr>
        <w:footnoteReference w:id="1"/>
      </w:r>
      <w:r w:rsidRPr="005E5ECB">
        <w:rPr>
          <w:rFonts w:ascii="Times New Roman" w:hAnsi="Times New Roman" w:cs="Times New Roman"/>
          <w:sz w:val="24"/>
          <w:szCs w:val="24"/>
        </w:rPr>
        <w:t>. Tento dokument načrtáva špecifické politické opatrenia plánované na roky 2021</w:t>
      </w:r>
      <w:r>
        <w:rPr>
          <w:rFonts w:ascii="Times New Roman" w:hAnsi="Times New Roman" w:cs="Times New Roman"/>
          <w:sz w:val="24"/>
          <w:szCs w:val="24"/>
        </w:rPr>
        <w:t xml:space="preserve"> </w:t>
      </w:r>
      <w:r w:rsidRPr="005E5ECB">
        <w:rPr>
          <w:rFonts w:ascii="Times New Roman" w:hAnsi="Times New Roman" w:cs="Times New Roman"/>
          <w:sz w:val="24"/>
          <w:szCs w:val="24"/>
        </w:rPr>
        <w:t>-</w:t>
      </w:r>
      <w:r>
        <w:rPr>
          <w:rFonts w:ascii="Times New Roman" w:hAnsi="Times New Roman" w:cs="Times New Roman"/>
          <w:sz w:val="24"/>
          <w:szCs w:val="24"/>
        </w:rPr>
        <w:t xml:space="preserve"> </w:t>
      </w:r>
      <w:r w:rsidRPr="005E5ECB">
        <w:rPr>
          <w:rFonts w:ascii="Times New Roman" w:hAnsi="Times New Roman" w:cs="Times New Roman"/>
          <w:sz w:val="24"/>
          <w:szCs w:val="24"/>
        </w:rPr>
        <w:t xml:space="preserve">2030 a rozvíja Strategický akčný plán EÚ pre bezpečnosť cestnej premávky </w:t>
      </w:r>
      <w:r w:rsidR="00D644B5">
        <w:rPr>
          <w:rFonts w:ascii="Times New Roman" w:hAnsi="Times New Roman" w:cs="Times New Roman"/>
          <w:sz w:val="24"/>
          <w:szCs w:val="24"/>
        </w:rPr>
        <w:t xml:space="preserve">(ďalej len „Strategický akčný plán“) </w:t>
      </w:r>
      <w:r w:rsidRPr="005E5ECB">
        <w:rPr>
          <w:rFonts w:ascii="Times New Roman" w:hAnsi="Times New Roman" w:cs="Times New Roman"/>
          <w:sz w:val="24"/>
          <w:szCs w:val="24"/>
        </w:rPr>
        <w:t>vydaný EÚ v máji 2018.</w:t>
      </w:r>
      <w:r w:rsidR="00D644B5">
        <w:rPr>
          <w:rStyle w:val="Odkaznapoznmkupodiarou"/>
          <w:rFonts w:ascii="Times New Roman" w:hAnsi="Times New Roman" w:cs="Times New Roman"/>
          <w:sz w:val="24"/>
          <w:szCs w:val="24"/>
        </w:rPr>
        <w:footnoteReference w:id="2"/>
      </w:r>
      <w:r w:rsidRPr="005E5ECB">
        <w:rPr>
          <w:rFonts w:ascii="Times New Roman" w:hAnsi="Times New Roman" w:cs="Times New Roman"/>
          <w:sz w:val="24"/>
          <w:szCs w:val="24"/>
        </w:rPr>
        <w:t xml:space="preserve"> </w:t>
      </w:r>
      <w:r w:rsidR="00015838">
        <w:rPr>
          <w:rFonts w:ascii="Times New Roman" w:hAnsi="Times New Roman" w:cs="Times New Roman"/>
          <w:sz w:val="24"/>
          <w:szCs w:val="24"/>
        </w:rPr>
        <w:t>V júni 2019 z</w:t>
      </w:r>
      <w:r w:rsidR="00C21CB1" w:rsidRPr="001557C5">
        <w:rPr>
          <w:rFonts w:ascii="Times New Roman" w:hAnsi="Times New Roman" w:cs="Times New Roman"/>
          <w:sz w:val="24"/>
          <w:szCs w:val="24"/>
        </w:rPr>
        <w:t xml:space="preserve">verejnila </w:t>
      </w:r>
      <w:r w:rsidR="00015838">
        <w:rPr>
          <w:rFonts w:ascii="Times New Roman" w:hAnsi="Times New Roman" w:cs="Times New Roman"/>
          <w:sz w:val="24"/>
          <w:szCs w:val="24"/>
        </w:rPr>
        <w:t xml:space="preserve">EÚ </w:t>
      </w:r>
      <w:r w:rsidR="00C21CB1" w:rsidRPr="001557C5">
        <w:rPr>
          <w:rFonts w:ascii="Times New Roman" w:hAnsi="Times New Roman" w:cs="Times New Roman"/>
          <w:sz w:val="24"/>
          <w:szCs w:val="24"/>
        </w:rPr>
        <w:t>podrobn</w:t>
      </w:r>
      <w:r w:rsidR="00C21CB1">
        <w:rPr>
          <w:rFonts w:ascii="Times New Roman" w:hAnsi="Times New Roman" w:cs="Times New Roman"/>
          <w:sz w:val="24"/>
          <w:szCs w:val="24"/>
        </w:rPr>
        <w:t xml:space="preserve">é informácie o tom, ako zamýšľa </w:t>
      </w:r>
      <w:r w:rsidR="00C21CB1" w:rsidRPr="001557C5">
        <w:rPr>
          <w:rFonts w:ascii="Times New Roman" w:hAnsi="Times New Roman" w:cs="Times New Roman"/>
          <w:sz w:val="24"/>
          <w:szCs w:val="24"/>
        </w:rPr>
        <w:t>sv</w:t>
      </w:r>
      <w:r w:rsidR="00015838">
        <w:rPr>
          <w:rFonts w:ascii="Times New Roman" w:hAnsi="Times New Roman" w:cs="Times New Roman"/>
          <w:sz w:val="24"/>
          <w:szCs w:val="24"/>
        </w:rPr>
        <w:t>oj S</w:t>
      </w:r>
      <w:r w:rsidR="00C21CB1" w:rsidRPr="001557C5">
        <w:rPr>
          <w:rFonts w:ascii="Times New Roman" w:hAnsi="Times New Roman" w:cs="Times New Roman"/>
          <w:sz w:val="24"/>
          <w:szCs w:val="24"/>
        </w:rPr>
        <w:t xml:space="preserve">trategický akčný plán </w:t>
      </w:r>
      <w:r w:rsidR="00C21CB1">
        <w:rPr>
          <w:rFonts w:ascii="Times New Roman" w:hAnsi="Times New Roman" w:cs="Times New Roman"/>
          <w:sz w:val="24"/>
          <w:szCs w:val="24"/>
        </w:rPr>
        <w:t>zrealizovať. V </w:t>
      </w:r>
      <w:r w:rsidR="00015838">
        <w:rPr>
          <w:rFonts w:ascii="Times New Roman" w:hAnsi="Times New Roman" w:cs="Times New Roman"/>
          <w:sz w:val="24"/>
          <w:szCs w:val="24"/>
        </w:rPr>
        <w:t>úzkej spolupráci s </w:t>
      </w:r>
      <w:r w:rsidR="00C21CB1" w:rsidRPr="001557C5">
        <w:rPr>
          <w:rFonts w:ascii="Times New Roman" w:hAnsi="Times New Roman" w:cs="Times New Roman"/>
          <w:sz w:val="24"/>
          <w:szCs w:val="24"/>
        </w:rPr>
        <w:t>členskými štá</w:t>
      </w:r>
      <w:r w:rsidR="00C21CB1">
        <w:rPr>
          <w:rFonts w:ascii="Times New Roman" w:hAnsi="Times New Roman" w:cs="Times New Roman"/>
          <w:sz w:val="24"/>
          <w:szCs w:val="24"/>
        </w:rPr>
        <w:t xml:space="preserve">tmi bol vypracovaný prvý zoznam </w:t>
      </w:r>
      <w:r w:rsidR="00C21CB1" w:rsidRPr="001557C5">
        <w:rPr>
          <w:rFonts w:ascii="Times New Roman" w:hAnsi="Times New Roman" w:cs="Times New Roman"/>
          <w:sz w:val="24"/>
          <w:szCs w:val="24"/>
        </w:rPr>
        <w:t>kľúč</w:t>
      </w:r>
      <w:r w:rsidR="00015838">
        <w:rPr>
          <w:rFonts w:ascii="Times New Roman" w:hAnsi="Times New Roman" w:cs="Times New Roman"/>
          <w:sz w:val="24"/>
          <w:szCs w:val="24"/>
        </w:rPr>
        <w:t>ových ukazovateľov výkonnosti v </w:t>
      </w:r>
      <w:r w:rsidR="00C21CB1" w:rsidRPr="001557C5">
        <w:rPr>
          <w:rFonts w:ascii="Times New Roman" w:hAnsi="Times New Roman" w:cs="Times New Roman"/>
          <w:sz w:val="24"/>
          <w:szCs w:val="24"/>
        </w:rPr>
        <w:t>oblasti bezpečn</w:t>
      </w:r>
      <w:r w:rsidR="00C21CB1">
        <w:rPr>
          <w:rFonts w:ascii="Times New Roman" w:hAnsi="Times New Roman" w:cs="Times New Roman"/>
          <w:sz w:val="24"/>
          <w:szCs w:val="24"/>
        </w:rPr>
        <w:t>osti, ktorý</w:t>
      </w:r>
      <w:r w:rsidR="00C77187">
        <w:rPr>
          <w:rFonts w:ascii="Times New Roman" w:hAnsi="Times New Roman" w:cs="Times New Roman"/>
          <w:sz w:val="24"/>
          <w:szCs w:val="24"/>
        </w:rPr>
        <w:t xml:space="preserve"> bude monitorovaný</w:t>
      </w:r>
      <w:r w:rsidR="00C21CB1">
        <w:rPr>
          <w:rFonts w:ascii="Times New Roman" w:hAnsi="Times New Roman" w:cs="Times New Roman"/>
          <w:sz w:val="24"/>
          <w:szCs w:val="24"/>
        </w:rPr>
        <w:t xml:space="preserve"> </w:t>
      </w:r>
      <w:r w:rsidR="00C21CB1" w:rsidRPr="001557C5">
        <w:rPr>
          <w:rFonts w:ascii="Times New Roman" w:hAnsi="Times New Roman" w:cs="Times New Roman"/>
          <w:sz w:val="24"/>
          <w:szCs w:val="24"/>
        </w:rPr>
        <w:t>v cele</w:t>
      </w:r>
      <w:r w:rsidR="00C77187">
        <w:rPr>
          <w:rFonts w:ascii="Times New Roman" w:hAnsi="Times New Roman" w:cs="Times New Roman"/>
          <w:sz w:val="24"/>
          <w:szCs w:val="24"/>
        </w:rPr>
        <w:t>j EÚ s cieľom podporiť úsilie o </w:t>
      </w:r>
      <w:r w:rsidR="00C21CB1" w:rsidRPr="001557C5">
        <w:rPr>
          <w:rFonts w:ascii="Times New Roman" w:hAnsi="Times New Roman" w:cs="Times New Roman"/>
          <w:sz w:val="24"/>
          <w:szCs w:val="24"/>
        </w:rPr>
        <w:t>dosiahnutie cieľ</w:t>
      </w:r>
      <w:r w:rsidR="00C21CB1">
        <w:rPr>
          <w:rFonts w:ascii="Times New Roman" w:hAnsi="Times New Roman" w:cs="Times New Roman"/>
          <w:sz w:val="24"/>
          <w:szCs w:val="24"/>
        </w:rPr>
        <w:t xml:space="preserve">a spočívajúceho v znížení počtu </w:t>
      </w:r>
      <w:r w:rsidR="00C21CB1" w:rsidRPr="001557C5">
        <w:rPr>
          <w:rFonts w:ascii="Times New Roman" w:hAnsi="Times New Roman" w:cs="Times New Roman"/>
          <w:sz w:val="24"/>
          <w:szCs w:val="24"/>
        </w:rPr>
        <w:t>úmrtí a vá</w:t>
      </w:r>
      <w:r w:rsidR="00C77187">
        <w:rPr>
          <w:rFonts w:ascii="Times New Roman" w:hAnsi="Times New Roman" w:cs="Times New Roman"/>
          <w:sz w:val="24"/>
          <w:szCs w:val="24"/>
        </w:rPr>
        <w:t>žnych zranení do roku 2030 o 50 </w:t>
      </w:r>
      <w:r w:rsidR="00C21CB1" w:rsidRPr="001557C5">
        <w:rPr>
          <w:rFonts w:ascii="Times New Roman" w:hAnsi="Times New Roman" w:cs="Times New Roman"/>
          <w:sz w:val="24"/>
          <w:szCs w:val="24"/>
        </w:rPr>
        <w:t>%.</w:t>
      </w:r>
      <w:r w:rsidR="00C21CB1">
        <w:rPr>
          <w:rStyle w:val="Odkaznapoznmkupodiarou"/>
          <w:rFonts w:ascii="Times New Roman" w:hAnsi="Times New Roman" w:cs="Times New Roman"/>
          <w:sz w:val="24"/>
          <w:szCs w:val="24"/>
        </w:rPr>
        <w:footnoteReference w:id="3"/>
      </w:r>
    </w:p>
    <w:p w14:paraId="17BC71DA" w14:textId="58D098D4" w:rsidR="005E5ECB" w:rsidRPr="005E5ECB" w:rsidRDefault="005E5ECB" w:rsidP="00C21CB1">
      <w:pPr>
        <w:spacing w:after="0" w:line="240" w:lineRule="auto"/>
        <w:ind w:firstLine="709"/>
        <w:jc w:val="both"/>
        <w:rPr>
          <w:rFonts w:ascii="Times New Roman" w:hAnsi="Times New Roman" w:cs="Times New Roman"/>
          <w:sz w:val="24"/>
          <w:szCs w:val="24"/>
        </w:rPr>
      </w:pPr>
      <w:r w:rsidRPr="007116A4">
        <w:rPr>
          <w:rFonts w:ascii="Times New Roman" w:hAnsi="Times New Roman" w:cs="Times New Roman"/>
          <w:b/>
          <w:sz w:val="24"/>
          <w:szCs w:val="24"/>
        </w:rPr>
        <w:t xml:space="preserve">K významným faktorom, ktoré </w:t>
      </w:r>
      <w:r w:rsidR="00015838" w:rsidRPr="007116A4">
        <w:rPr>
          <w:rFonts w:ascii="Times New Roman" w:hAnsi="Times New Roman" w:cs="Times New Roman"/>
          <w:b/>
          <w:sz w:val="24"/>
          <w:szCs w:val="24"/>
        </w:rPr>
        <w:t xml:space="preserve">kvalitatívne </w:t>
      </w:r>
      <w:r w:rsidRPr="007116A4">
        <w:rPr>
          <w:rFonts w:ascii="Times New Roman" w:hAnsi="Times New Roman" w:cs="Times New Roman"/>
          <w:b/>
          <w:sz w:val="24"/>
          <w:szCs w:val="24"/>
        </w:rPr>
        <w:t>ovplyvňujú mieru bezpeč</w:t>
      </w:r>
      <w:r w:rsidR="00401536" w:rsidRPr="007116A4">
        <w:rPr>
          <w:rFonts w:ascii="Times New Roman" w:hAnsi="Times New Roman" w:cs="Times New Roman"/>
          <w:b/>
          <w:sz w:val="24"/>
          <w:szCs w:val="24"/>
        </w:rPr>
        <w:t>nosti na </w:t>
      </w:r>
      <w:r w:rsidRPr="007116A4">
        <w:rPr>
          <w:rFonts w:ascii="Times New Roman" w:hAnsi="Times New Roman" w:cs="Times New Roman"/>
          <w:b/>
          <w:sz w:val="24"/>
          <w:szCs w:val="24"/>
        </w:rPr>
        <w:t>cestách, možno zaradiť dopravné priestupky, ktoré svoj</w:t>
      </w:r>
      <w:r w:rsidR="00083BF4">
        <w:rPr>
          <w:rFonts w:ascii="Times New Roman" w:hAnsi="Times New Roman" w:cs="Times New Roman"/>
          <w:b/>
          <w:sz w:val="24"/>
          <w:szCs w:val="24"/>
        </w:rPr>
        <w:t>í</w:t>
      </w:r>
      <w:r w:rsidRPr="007116A4">
        <w:rPr>
          <w:rFonts w:ascii="Times New Roman" w:hAnsi="Times New Roman" w:cs="Times New Roman"/>
          <w:b/>
          <w:sz w:val="24"/>
          <w:szCs w:val="24"/>
        </w:rPr>
        <w:t>m cezhraničným rozsahom zasahujú do cestnej premávky všetkých členských štátov EÚ.</w:t>
      </w:r>
      <w:r w:rsidR="001557C5">
        <w:rPr>
          <w:rFonts w:ascii="Times New Roman" w:hAnsi="Times New Roman" w:cs="Times New Roman"/>
          <w:sz w:val="24"/>
          <w:szCs w:val="24"/>
        </w:rPr>
        <w:t xml:space="preserve"> </w:t>
      </w:r>
      <w:r w:rsidR="00C21CB1">
        <w:rPr>
          <w:rFonts w:ascii="Times New Roman" w:hAnsi="Times New Roman" w:cs="Times New Roman"/>
          <w:sz w:val="24"/>
          <w:szCs w:val="24"/>
        </w:rPr>
        <w:t xml:space="preserve"> </w:t>
      </w:r>
      <w:r w:rsidR="007B1199">
        <w:rPr>
          <w:rFonts w:ascii="Times New Roman" w:hAnsi="Times New Roman" w:cs="Times New Roman"/>
          <w:sz w:val="24"/>
          <w:szCs w:val="24"/>
        </w:rPr>
        <w:t>Hoci</w:t>
      </w:r>
      <w:r w:rsidR="00015838">
        <w:rPr>
          <w:rFonts w:ascii="Times New Roman" w:hAnsi="Times New Roman" w:cs="Times New Roman"/>
          <w:sz w:val="24"/>
          <w:szCs w:val="24"/>
        </w:rPr>
        <w:t xml:space="preserve"> možno konštatovať, že </w:t>
      </w:r>
      <w:r w:rsidR="007B1199">
        <w:rPr>
          <w:rFonts w:ascii="Times New Roman" w:hAnsi="Times New Roman" w:cs="Times New Roman"/>
          <w:sz w:val="24"/>
          <w:szCs w:val="24"/>
        </w:rPr>
        <w:t>p</w:t>
      </w:r>
      <w:r w:rsidRPr="005E5ECB">
        <w:rPr>
          <w:rFonts w:ascii="Times New Roman" w:hAnsi="Times New Roman" w:cs="Times New Roman"/>
          <w:sz w:val="24"/>
          <w:szCs w:val="24"/>
        </w:rPr>
        <w:t>odiel zod</w:t>
      </w:r>
      <w:r w:rsidR="007D5CDB">
        <w:rPr>
          <w:rFonts w:ascii="Times New Roman" w:hAnsi="Times New Roman" w:cs="Times New Roman"/>
          <w:sz w:val="24"/>
          <w:szCs w:val="24"/>
        </w:rPr>
        <w:t>povednosti za zavádzanie konkrétnych opatrení</w:t>
      </w:r>
      <w:r w:rsidR="00015838">
        <w:rPr>
          <w:rFonts w:ascii="Times New Roman" w:hAnsi="Times New Roman" w:cs="Times New Roman"/>
          <w:sz w:val="24"/>
          <w:szCs w:val="24"/>
        </w:rPr>
        <w:t xml:space="preserve"> je v </w:t>
      </w:r>
      <w:r w:rsidRPr="005E5ECB">
        <w:rPr>
          <w:rFonts w:ascii="Times New Roman" w:hAnsi="Times New Roman" w:cs="Times New Roman"/>
          <w:sz w:val="24"/>
          <w:szCs w:val="24"/>
        </w:rPr>
        <w:t>rámci bezpečnosti cestnej premávky medzi EÚ a jednotlivými členským</w:t>
      </w:r>
      <w:r w:rsidR="007B1199">
        <w:rPr>
          <w:rFonts w:ascii="Times New Roman" w:hAnsi="Times New Roman" w:cs="Times New Roman"/>
          <w:sz w:val="24"/>
          <w:szCs w:val="24"/>
        </w:rPr>
        <w:t xml:space="preserve">i štátmi rovnaký, </w:t>
      </w:r>
      <w:r w:rsidRPr="005E5ECB">
        <w:rPr>
          <w:rFonts w:ascii="Times New Roman" w:hAnsi="Times New Roman" w:cs="Times New Roman"/>
          <w:sz w:val="24"/>
          <w:szCs w:val="24"/>
        </w:rPr>
        <w:t>politik</w:t>
      </w:r>
      <w:r w:rsidR="00401536">
        <w:rPr>
          <w:rFonts w:ascii="Times New Roman" w:hAnsi="Times New Roman" w:cs="Times New Roman"/>
          <w:sz w:val="24"/>
          <w:szCs w:val="24"/>
        </w:rPr>
        <w:t>a</w:t>
      </w:r>
      <w:r w:rsidR="007B1199">
        <w:rPr>
          <w:rFonts w:ascii="Times New Roman" w:hAnsi="Times New Roman" w:cs="Times New Roman"/>
          <w:sz w:val="24"/>
          <w:szCs w:val="24"/>
        </w:rPr>
        <w:t xml:space="preserve"> EÚ v oblasti cestnej premávky </w:t>
      </w:r>
      <w:r w:rsidRPr="005E5ECB">
        <w:rPr>
          <w:rFonts w:ascii="Times New Roman" w:hAnsi="Times New Roman" w:cs="Times New Roman"/>
          <w:sz w:val="24"/>
          <w:szCs w:val="24"/>
        </w:rPr>
        <w:t xml:space="preserve">môže </w:t>
      </w:r>
      <w:r w:rsidR="007B1199">
        <w:rPr>
          <w:rFonts w:ascii="Times New Roman" w:hAnsi="Times New Roman" w:cs="Times New Roman"/>
          <w:sz w:val="24"/>
          <w:szCs w:val="24"/>
        </w:rPr>
        <w:t>svoj</w:t>
      </w:r>
      <w:r w:rsidR="00083BF4">
        <w:rPr>
          <w:rFonts w:ascii="Times New Roman" w:hAnsi="Times New Roman" w:cs="Times New Roman"/>
          <w:sz w:val="24"/>
          <w:szCs w:val="24"/>
        </w:rPr>
        <w:t>í</w:t>
      </w:r>
      <w:r w:rsidR="007B1199">
        <w:rPr>
          <w:rFonts w:ascii="Times New Roman" w:hAnsi="Times New Roman" w:cs="Times New Roman"/>
          <w:sz w:val="24"/>
          <w:szCs w:val="24"/>
        </w:rPr>
        <w:t>m vplyvom významne</w:t>
      </w:r>
      <w:r w:rsidRPr="005E5ECB">
        <w:rPr>
          <w:rFonts w:ascii="Times New Roman" w:hAnsi="Times New Roman" w:cs="Times New Roman"/>
          <w:sz w:val="24"/>
          <w:szCs w:val="24"/>
        </w:rPr>
        <w:t xml:space="preserve"> formovať </w:t>
      </w:r>
      <w:r w:rsidR="007B1199">
        <w:rPr>
          <w:rFonts w:ascii="Times New Roman" w:hAnsi="Times New Roman" w:cs="Times New Roman"/>
          <w:sz w:val="24"/>
          <w:szCs w:val="24"/>
        </w:rPr>
        <w:t>celkové</w:t>
      </w:r>
      <w:r w:rsidR="007116A4">
        <w:rPr>
          <w:rFonts w:ascii="Times New Roman" w:hAnsi="Times New Roman" w:cs="Times New Roman"/>
          <w:sz w:val="24"/>
          <w:szCs w:val="24"/>
        </w:rPr>
        <w:t>,</w:t>
      </w:r>
      <w:r w:rsidR="00015838">
        <w:rPr>
          <w:rFonts w:ascii="Times New Roman" w:hAnsi="Times New Roman" w:cs="Times New Roman"/>
          <w:sz w:val="24"/>
          <w:szCs w:val="24"/>
        </w:rPr>
        <w:t xml:space="preserve"> ako aj čiastkové</w:t>
      </w:r>
      <w:r w:rsidR="007B1199">
        <w:rPr>
          <w:rFonts w:ascii="Times New Roman" w:hAnsi="Times New Roman" w:cs="Times New Roman"/>
          <w:sz w:val="24"/>
          <w:szCs w:val="24"/>
        </w:rPr>
        <w:t xml:space="preserve"> smerovanie politík</w:t>
      </w:r>
      <w:r w:rsidRPr="005E5ECB">
        <w:rPr>
          <w:rFonts w:ascii="Times New Roman" w:hAnsi="Times New Roman" w:cs="Times New Roman"/>
          <w:sz w:val="24"/>
          <w:szCs w:val="24"/>
        </w:rPr>
        <w:t xml:space="preserve"> jednotlivých č</w:t>
      </w:r>
      <w:r w:rsidR="00401536">
        <w:rPr>
          <w:rFonts w:ascii="Times New Roman" w:hAnsi="Times New Roman" w:cs="Times New Roman"/>
          <w:sz w:val="24"/>
          <w:szCs w:val="24"/>
        </w:rPr>
        <w:t>lenských štátov. P</w:t>
      </w:r>
      <w:r w:rsidRPr="005E5ECB">
        <w:rPr>
          <w:rFonts w:ascii="Times New Roman" w:hAnsi="Times New Roman" w:cs="Times New Roman"/>
          <w:sz w:val="24"/>
          <w:szCs w:val="24"/>
        </w:rPr>
        <w:t>roblémy súvisiace s bezpeč</w:t>
      </w:r>
      <w:r w:rsidR="00401536">
        <w:rPr>
          <w:rFonts w:ascii="Times New Roman" w:hAnsi="Times New Roman" w:cs="Times New Roman"/>
          <w:sz w:val="24"/>
          <w:szCs w:val="24"/>
        </w:rPr>
        <w:t>nosťou na cestách sú rovnaké vo </w:t>
      </w:r>
      <w:r w:rsidRPr="005E5ECB">
        <w:rPr>
          <w:rFonts w:ascii="Times New Roman" w:hAnsi="Times New Roman" w:cs="Times New Roman"/>
          <w:sz w:val="24"/>
          <w:szCs w:val="24"/>
        </w:rPr>
        <w:t>všetkých členských štátoch EÚ</w:t>
      </w:r>
      <w:r w:rsidR="007116A4">
        <w:rPr>
          <w:rFonts w:ascii="Times New Roman" w:hAnsi="Times New Roman" w:cs="Times New Roman"/>
          <w:sz w:val="24"/>
          <w:szCs w:val="24"/>
        </w:rPr>
        <w:t>. P</w:t>
      </w:r>
      <w:r w:rsidR="007D5CDB">
        <w:rPr>
          <w:rFonts w:ascii="Times New Roman" w:hAnsi="Times New Roman" w:cs="Times New Roman"/>
          <w:sz w:val="24"/>
          <w:szCs w:val="24"/>
        </w:rPr>
        <w:t>ráve touto tézou sa zaoberajú relevantné orgány EÚ</w:t>
      </w:r>
      <w:r w:rsidR="00083BF4">
        <w:rPr>
          <w:rFonts w:ascii="Times New Roman" w:hAnsi="Times New Roman" w:cs="Times New Roman"/>
          <w:sz w:val="24"/>
          <w:szCs w:val="24"/>
        </w:rPr>
        <w:t>,</w:t>
      </w:r>
      <w:r w:rsidR="007116A4">
        <w:rPr>
          <w:rFonts w:ascii="Times New Roman" w:hAnsi="Times New Roman" w:cs="Times New Roman"/>
          <w:sz w:val="24"/>
          <w:szCs w:val="24"/>
        </w:rPr>
        <w:t xml:space="preserve"> a to</w:t>
      </w:r>
      <w:r w:rsidR="007D5CDB">
        <w:rPr>
          <w:rFonts w:ascii="Times New Roman" w:hAnsi="Times New Roman" w:cs="Times New Roman"/>
          <w:sz w:val="24"/>
          <w:szCs w:val="24"/>
        </w:rPr>
        <w:t xml:space="preserve"> s úmyslom</w:t>
      </w:r>
      <w:r w:rsidR="00401536">
        <w:rPr>
          <w:rFonts w:ascii="Times New Roman" w:hAnsi="Times New Roman" w:cs="Times New Roman"/>
          <w:sz w:val="24"/>
          <w:szCs w:val="24"/>
        </w:rPr>
        <w:t xml:space="preserve"> </w:t>
      </w:r>
      <w:r w:rsidR="007B1199">
        <w:rPr>
          <w:rFonts w:ascii="Times New Roman" w:hAnsi="Times New Roman" w:cs="Times New Roman"/>
          <w:sz w:val="24"/>
          <w:szCs w:val="24"/>
        </w:rPr>
        <w:t>zapôsobiť  na vnútroštátne vlády</w:t>
      </w:r>
      <w:r w:rsidR="00401536">
        <w:rPr>
          <w:rFonts w:ascii="Times New Roman" w:hAnsi="Times New Roman" w:cs="Times New Roman"/>
          <w:sz w:val="24"/>
          <w:szCs w:val="24"/>
        </w:rPr>
        <w:t xml:space="preserve"> </w:t>
      </w:r>
      <w:r w:rsidRPr="005E5ECB">
        <w:rPr>
          <w:rFonts w:ascii="Times New Roman" w:hAnsi="Times New Roman" w:cs="Times New Roman"/>
          <w:sz w:val="24"/>
          <w:szCs w:val="24"/>
        </w:rPr>
        <w:t xml:space="preserve">pri </w:t>
      </w:r>
      <w:r w:rsidR="00401536">
        <w:rPr>
          <w:rFonts w:ascii="Times New Roman" w:hAnsi="Times New Roman" w:cs="Times New Roman"/>
          <w:sz w:val="24"/>
          <w:szCs w:val="24"/>
        </w:rPr>
        <w:t>rozvoji spolupráce</w:t>
      </w:r>
      <w:r w:rsidRPr="005E5ECB">
        <w:rPr>
          <w:rFonts w:ascii="Times New Roman" w:hAnsi="Times New Roman" w:cs="Times New Roman"/>
          <w:sz w:val="24"/>
          <w:szCs w:val="24"/>
        </w:rPr>
        <w:t xml:space="preserve"> a</w:t>
      </w:r>
      <w:r w:rsidR="00401536">
        <w:rPr>
          <w:rFonts w:ascii="Times New Roman" w:hAnsi="Times New Roman" w:cs="Times New Roman"/>
          <w:sz w:val="24"/>
          <w:szCs w:val="24"/>
        </w:rPr>
        <w:t xml:space="preserve"> cezhraničnej</w:t>
      </w:r>
      <w:r w:rsidR="007116A4">
        <w:rPr>
          <w:rFonts w:ascii="Times New Roman" w:hAnsi="Times New Roman" w:cs="Times New Roman"/>
          <w:sz w:val="24"/>
          <w:szCs w:val="24"/>
        </w:rPr>
        <w:t xml:space="preserve"> výmene informácií. Harmonizáciu</w:t>
      </w:r>
      <w:r w:rsidRPr="005E5ECB">
        <w:rPr>
          <w:rFonts w:ascii="Times New Roman" w:hAnsi="Times New Roman" w:cs="Times New Roman"/>
          <w:sz w:val="24"/>
          <w:szCs w:val="24"/>
        </w:rPr>
        <w:t xml:space="preserve"> pravidiel cestnej premávky a stanovenie spoločných postupov pri ukladaní sankcií za ich porušenia</w:t>
      </w:r>
      <w:r w:rsidR="00C77187">
        <w:rPr>
          <w:rFonts w:ascii="Times New Roman" w:hAnsi="Times New Roman" w:cs="Times New Roman"/>
          <w:sz w:val="24"/>
          <w:szCs w:val="24"/>
        </w:rPr>
        <w:t xml:space="preserve"> možno zaradiť medzi najperspektívnejšie </w:t>
      </w:r>
      <w:r w:rsidRPr="005E5ECB">
        <w:rPr>
          <w:rFonts w:ascii="Times New Roman" w:hAnsi="Times New Roman" w:cs="Times New Roman"/>
          <w:sz w:val="24"/>
          <w:szCs w:val="24"/>
        </w:rPr>
        <w:t>nástroje zni</w:t>
      </w:r>
      <w:r w:rsidR="00C77187">
        <w:rPr>
          <w:rFonts w:ascii="Times New Roman" w:hAnsi="Times New Roman" w:cs="Times New Roman"/>
          <w:sz w:val="24"/>
          <w:szCs w:val="24"/>
        </w:rPr>
        <w:t xml:space="preserve">žovania počtu obetí na </w:t>
      </w:r>
      <w:r w:rsidRPr="005E5ECB">
        <w:rPr>
          <w:rFonts w:ascii="Times New Roman" w:hAnsi="Times New Roman" w:cs="Times New Roman"/>
          <w:sz w:val="24"/>
          <w:szCs w:val="24"/>
        </w:rPr>
        <w:t xml:space="preserve">cestách </w:t>
      </w:r>
      <w:r w:rsidR="00C77187">
        <w:rPr>
          <w:rFonts w:ascii="Times New Roman" w:hAnsi="Times New Roman" w:cs="Times New Roman"/>
          <w:sz w:val="24"/>
          <w:szCs w:val="24"/>
        </w:rPr>
        <w:t xml:space="preserve">v </w:t>
      </w:r>
      <w:r w:rsidRPr="005E5ECB">
        <w:rPr>
          <w:rFonts w:ascii="Times New Roman" w:hAnsi="Times New Roman" w:cs="Times New Roman"/>
          <w:sz w:val="24"/>
          <w:szCs w:val="24"/>
        </w:rPr>
        <w:t xml:space="preserve">EÚ. </w:t>
      </w:r>
    </w:p>
    <w:p w14:paraId="30D7CA13" w14:textId="77777777" w:rsidR="001E47F4" w:rsidRDefault="001E47F4" w:rsidP="000D5519">
      <w:pPr>
        <w:spacing w:after="0" w:line="360" w:lineRule="auto"/>
        <w:jc w:val="both"/>
        <w:rPr>
          <w:rFonts w:ascii="Times New Roman" w:hAnsi="Times New Roman" w:cs="Times New Roman"/>
          <w:b/>
          <w:sz w:val="24"/>
          <w:szCs w:val="24"/>
        </w:rPr>
      </w:pPr>
    </w:p>
    <w:p w14:paraId="21C72D33" w14:textId="66283DCD" w:rsidR="00C106D0" w:rsidRDefault="00564294" w:rsidP="000D551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Charakteristika </w:t>
      </w:r>
      <w:r w:rsidR="002C6769">
        <w:rPr>
          <w:rFonts w:ascii="Times New Roman" w:hAnsi="Times New Roman" w:cs="Times New Roman"/>
          <w:b/>
          <w:sz w:val="24"/>
          <w:szCs w:val="24"/>
        </w:rPr>
        <w:t>politiky EÚ v oblasti bezpečnosti na cestách</w:t>
      </w:r>
    </w:p>
    <w:p w14:paraId="15857C9C" w14:textId="0BCC265E" w:rsidR="00C77187" w:rsidRDefault="00C77187" w:rsidP="00D662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Podľa zverejnených štatistík </w:t>
      </w:r>
      <w:r w:rsidRPr="002C6769">
        <w:rPr>
          <w:rFonts w:ascii="Times New Roman" w:hAnsi="Times New Roman" w:cs="Times New Roman"/>
          <w:sz w:val="24"/>
          <w:szCs w:val="24"/>
        </w:rPr>
        <w:t>Európskej komisie</w:t>
      </w:r>
      <w:r>
        <w:rPr>
          <w:rFonts w:ascii="Times New Roman" w:hAnsi="Times New Roman" w:cs="Times New Roman"/>
          <w:sz w:val="24"/>
          <w:szCs w:val="24"/>
        </w:rPr>
        <w:t xml:space="preserve"> zahynulo v roku 2022 pri dopravných nehodách približne 20 600 ľudí, čo je o</w:t>
      </w:r>
      <w:r w:rsidR="0075663E">
        <w:rPr>
          <w:rFonts w:ascii="Times New Roman" w:hAnsi="Times New Roman" w:cs="Times New Roman"/>
          <w:sz w:val="24"/>
          <w:szCs w:val="24"/>
        </w:rPr>
        <w:t> </w:t>
      </w:r>
      <w:r>
        <w:rPr>
          <w:rFonts w:ascii="Times New Roman" w:hAnsi="Times New Roman" w:cs="Times New Roman"/>
          <w:sz w:val="24"/>
          <w:szCs w:val="24"/>
        </w:rPr>
        <w:t>3</w:t>
      </w:r>
      <w:r w:rsidR="0075663E">
        <w:rPr>
          <w:rFonts w:ascii="Times New Roman" w:hAnsi="Times New Roman" w:cs="Times New Roman"/>
          <w:sz w:val="24"/>
          <w:szCs w:val="24"/>
        </w:rPr>
        <w:t xml:space="preserve"> </w:t>
      </w:r>
      <w:r>
        <w:rPr>
          <w:rFonts w:ascii="Times New Roman" w:hAnsi="Times New Roman" w:cs="Times New Roman"/>
          <w:sz w:val="24"/>
          <w:szCs w:val="24"/>
        </w:rPr>
        <w:t>% viac ako v roku 2021. V porovnaní s obdobím pred vypuknut</w:t>
      </w:r>
      <w:r w:rsidR="007116A4">
        <w:rPr>
          <w:rFonts w:ascii="Times New Roman" w:hAnsi="Times New Roman" w:cs="Times New Roman"/>
          <w:sz w:val="24"/>
          <w:szCs w:val="24"/>
        </w:rPr>
        <w:t>ím pandémie, rokom 2019</w:t>
      </w:r>
      <w:r w:rsidR="0075663E">
        <w:rPr>
          <w:rFonts w:ascii="Times New Roman" w:hAnsi="Times New Roman" w:cs="Times New Roman"/>
          <w:sz w:val="24"/>
          <w:szCs w:val="24"/>
        </w:rPr>
        <w:t>,</w:t>
      </w:r>
      <w:r w:rsidR="007116A4">
        <w:rPr>
          <w:rFonts w:ascii="Times New Roman" w:hAnsi="Times New Roman" w:cs="Times New Roman"/>
          <w:sz w:val="24"/>
          <w:szCs w:val="24"/>
        </w:rPr>
        <w:t xml:space="preserve"> ide</w:t>
      </w:r>
      <w:r>
        <w:rPr>
          <w:rFonts w:ascii="Times New Roman" w:hAnsi="Times New Roman" w:cs="Times New Roman"/>
          <w:sz w:val="24"/>
          <w:szCs w:val="24"/>
        </w:rPr>
        <w:t xml:space="preserve"> o</w:t>
      </w:r>
      <w:r w:rsidR="0075663E">
        <w:rPr>
          <w:rFonts w:ascii="Times New Roman" w:hAnsi="Times New Roman" w:cs="Times New Roman"/>
          <w:sz w:val="24"/>
          <w:szCs w:val="24"/>
        </w:rPr>
        <w:t> </w:t>
      </w:r>
      <w:r>
        <w:rPr>
          <w:rFonts w:ascii="Times New Roman" w:hAnsi="Times New Roman" w:cs="Times New Roman"/>
          <w:sz w:val="24"/>
          <w:szCs w:val="24"/>
        </w:rPr>
        <w:t>2</w:t>
      </w:r>
      <w:r w:rsidR="0075663E">
        <w:rPr>
          <w:rFonts w:ascii="Times New Roman" w:hAnsi="Times New Roman" w:cs="Times New Roman"/>
          <w:sz w:val="24"/>
          <w:szCs w:val="24"/>
        </w:rPr>
        <w:t xml:space="preserve"> </w:t>
      </w:r>
      <w:r>
        <w:rPr>
          <w:rFonts w:ascii="Times New Roman" w:hAnsi="Times New Roman" w:cs="Times New Roman"/>
          <w:sz w:val="24"/>
          <w:szCs w:val="24"/>
        </w:rPr>
        <w:t xml:space="preserve">000 </w:t>
      </w:r>
      <w:r w:rsidR="007D5CDB">
        <w:rPr>
          <w:rFonts w:ascii="Times New Roman" w:hAnsi="Times New Roman" w:cs="Times New Roman"/>
          <w:sz w:val="24"/>
          <w:szCs w:val="24"/>
        </w:rPr>
        <w:t>úmrtí menej</w:t>
      </w:r>
      <w:r>
        <w:rPr>
          <w:rFonts w:ascii="Times New Roman" w:hAnsi="Times New Roman" w:cs="Times New Roman"/>
          <w:sz w:val="24"/>
          <w:szCs w:val="24"/>
        </w:rPr>
        <w:t xml:space="preserve"> (-10</w:t>
      </w:r>
      <w:r w:rsidR="0075663E">
        <w:rPr>
          <w:rFonts w:ascii="Times New Roman" w:hAnsi="Times New Roman" w:cs="Times New Roman"/>
          <w:sz w:val="24"/>
          <w:szCs w:val="24"/>
        </w:rPr>
        <w:t xml:space="preserve"> </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
      </w:r>
      <w:r>
        <w:rPr>
          <w:rFonts w:ascii="Times New Roman" w:hAnsi="Times New Roman" w:cs="Times New Roman"/>
          <w:sz w:val="24"/>
          <w:szCs w:val="24"/>
        </w:rPr>
        <w:t>. V roku 2019 bolo v </w:t>
      </w:r>
      <w:r w:rsidRPr="002C6769">
        <w:rPr>
          <w:rFonts w:ascii="Times New Roman" w:hAnsi="Times New Roman" w:cs="Times New Roman"/>
          <w:sz w:val="24"/>
          <w:szCs w:val="24"/>
        </w:rPr>
        <w:t>28 členských štátoch EÚ zaznamenaných cca 22 800 obetí na cestách. V porovnaní s</w:t>
      </w:r>
      <w:r w:rsidR="007D5CDB">
        <w:rPr>
          <w:rFonts w:ascii="Times New Roman" w:hAnsi="Times New Roman" w:cs="Times New Roman"/>
          <w:sz w:val="24"/>
          <w:szCs w:val="24"/>
        </w:rPr>
        <w:t> </w:t>
      </w:r>
      <w:r>
        <w:rPr>
          <w:rFonts w:ascii="Times New Roman" w:hAnsi="Times New Roman" w:cs="Times New Roman"/>
          <w:sz w:val="24"/>
          <w:szCs w:val="24"/>
        </w:rPr>
        <w:t>rokom 2018 sa počet znížil o</w:t>
      </w:r>
      <w:r w:rsidR="0075663E">
        <w:rPr>
          <w:rFonts w:ascii="Times New Roman" w:hAnsi="Times New Roman" w:cs="Times New Roman"/>
          <w:sz w:val="24"/>
          <w:szCs w:val="24"/>
        </w:rPr>
        <w:t> </w:t>
      </w:r>
      <w:r>
        <w:rPr>
          <w:rFonts w:ascii="Times New Roman" w:hAnsi="Times New Roman" w:cs="Times New Roman"/>
          <w:sz w:val="24"/>
          <w:szCs w:val="24"/>
        </w:rPr>
        <w:t>2</w:t>
      </w:r>
      <w:r w:rsidR="0075663E">
        <w:rPr>
          <w:rFonts w:ascii="Times New Roman" w:hAnsi="Times New Roman" w:cs="Times New Roman"/>
          <w:sz w:val="24"/>
          <w:szCs w:val="24"/>
        </w:rPr>
        <w:t xml:space="preserve"> </w:t>
      </w:r>
      <w:r w:rsidRPr="002C6769">
        <w:rPr>
          <w:rFonts w:ascii="Times New Roman" w:hAnsi="Times New Roman" w:cs="Times New Roman"/>
          <w:sz w:val="24"/>
          <w:szCs w:val="24"/>
        </w:rPr>
        <w:t>%. Zatiaľ čo základný trend zost</w:t>
      </w:r>
      <w:r w:rsidR="007D5CDB">
        <w:rPr>
          <w:rFonts w:ascii="Times New Roman" w:hAnsi="Times New Roman" w:cs="Times New Roman"/>
          <w:sz w:val="24"/>
          <w:szCs w:val="24"/>
        </w:rPr>
        <w:t>áva zostupný, pokrok sa vo </w:t>
      </w:r>
      <w:r w:rsidRPr="002C6769">
        <w:rPr>
          <w:rFonts w:ascii="Times New Roman" w:hAnsi="Times New Roman" w:cs="Times New Roman"/>
          <w:sz w:val="24"/>
          <w:szCs w:val="24"/>
        </w:rPr>
        <w:t>väčšine krajín od roku 2013 spomalil a cieľ EÚ znížiť do roku 2020 počet úmrtí na cestách na polovicu</w:t>
      </w:r>
      <w:r w:rsidR="007D5CDB">
        <w:rPr>
          <w:rFonts w:ascii="Times New Roman" w:hAnsi="Times New Roman" w:cs="Times New Roman"/>
          <w:sz w:val="24"/>
          <w:szCs w:val="24"/>
        </w:rPr>
        <w:t xml:space="preserve"> (oproti východiskovej hodnote z</w:t>
      </w:r>
      <w:r>
        <w:rPr>
          <w:rFonts w:ascii="Times New Roman" w:hAnsi="Times New Roman" w:cs="Times New Roman"/>
          <w:sz w:val="24"/>
          <w:szCs w:val="24"/>
        </w:rPr>
        <w:t xml:space="preserve"> roku 2010) nebol splnený vplyvom zavedených opatrení</w:t>
      </w:r>
      <w:r w:rsidRPr="00153AF6">
        <w:rPr>
          <w:rFonts w:ascii="Times New Roman" w:hAnsi="Times New Roman" w:cs="Times New Roman"/>
          <w:sz w:val="24"/>
          <w:szCs w:val="24"/>
        </w:rPr>
        <w:t xml:space="preserve"> </w:t>
      </w:r>
      <w:r>
        <w:rPr>
          <w:rFonts w:ascii="Times New Roman" w:hAnsi="Times New Roman" w:cs="Times New Roman"/>
          <w:sz w:val="24"/>
          <w:szCs w:val="24"/>
        </w:rPr>
        <w:t>na </w:t>
      </w:r>
      <w:r w:rsidRPr="002C6769">
        <w:rPr>
          <w:rFonts w:ascii="Times New Roman" w:hAnsi="Times New Roman" w:cs="Times New Roman"/>
          <w:sz w:val="24"/>
          <w:szCs w:val="24"/>
        </w:rPr>
        <w:t>cestách EÚ</w:t>
      </w:r>
      <w:r>
        <w:rPr>
          <w:rFonts w:ascii="Times New Roman" w:hAnsi="Times New Roman" w:cs="Times New Roman"/>
          <w:sz w:val="24"/>
          <w:szCs w:val="24"/>
        </w:rPr>
        <w:t>, ale vplyvom boja s pandémiou.</w:t>
      </w:r>
      <w:r>
        <w:rPr>
          <w:rStyle w:val="Odkaznapoznmkupodiarou"/>
          <w:rFonts w:ascii="Times New Roman" w:hAnsi="Times New Roman" w:cs="Times New Roman"/>
          <w:sz w:val="24"/>
          <w:szCs w:val="24"/>
        </w:rPr>
        <w:footnoteReference w:id="5"/>
      </w:r>
    </w:p>
    <w:p w14:paraId="3D0A2535" w14:textId="77777777" w:rsidR="00C77187" w:rsidRDefault="00C77187" w:rsidP="00C77187">
      <w:pPr>
        <w:spacing w:after="0" w:line="240" w:lineRule="auto"/>
        <w:ind w:firstLine="708"/>
        <w:jc w:val="both"/>
        <w:rPr>
          <w:rFonts w:ascii="Times New Roman" w:hAnsi="Times New Roman" w:cs="Times New Roman"/>
          <w:sz w:val="24"/>
          <w:szCs w:val="24"/>
        </w:rPr>
      </w:pPr>
    </w:p>
    <w:p w14:paraId="49422ABF" w14:textId="77777777" w:rsidR="00C77187" w:rsidRPr="001557C5" w:rsidRDefault="00C77187" w:rsidP="00C77187">
      <w:pPr>
        <w:spacing w:line="240" w:lineRule="auto"/>
        <w:ind w:firstLine="708"/>
        <w:jc w:val="both"/>
        <w:rPr>
          <w:rFonts w:ascii="Times New Roman" w:hAnsi="Times New Roman" w:cs="Times New Roman"/>
          <w:sz w:val="20"/>
          <w:szCs w:val="20"/>
        </w:rPr>
      </w:pPr>
      <w:r w:rsidRPr="001557C5">
        <w:rPr>
          <w:rFonts w:ascii="Times New Roman" w:hAnsi="Times New Roman" w:cs="Times New Roman"/>
          <w:sz w:val="20"/>
          <w:szCs w:val="20"/>
        </w:rPr>
        <w:t>Obrázok č. 1 Štatistika bezpečnosti na cestách</w:t>
      </w:r>
    </w:p>
    <w:p w14:paraId="0A6EC44C" w14:textId="77777777" w:rsidR="00C77187" w:rsidRDefault="00C77187" w:rsidP="00C77187">
      <w:pPr>
        <w:spacing w:line="240" w:lineRule="auto"/>
        <w:ind w:firstLine="708"/>
        <w:rPr>
          <w:rFonts w:ascii="Times New Roman" w:hAnsi="Times New Roman" w:cs="Times New Roman"/>
          <w:sz w:val="24"/>
          <w:szCs w:val="24"/>
        </w:rPr>
      </w:pPr>
      <w:r>
        <w:rPr>
          <w:noProof/>
          <w:lang w:eastAsia="sk-SK"/>
        </w:rPr>
        <w:drawing>
          <wp:inline distT="0" distB="0" distL="0" distR="0" wp14:anchorId="247C1C45" wp14:editId="48554AB3">
            <wp:extent cx="4976106" cy="22955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2251" cy="2298360"/>
                    </a:xfrm>
                    <a:prstGeom prst="rect">
                      <a:avLst/>
                    </a:prstGeom>
                  </pic:spPr>
                </pic:pic>
              </a:graphicData>
            </a:graphic>
          </wp:inline>
        </w:drawing>
      </w:r>
    </w:p>
    <w:p w14:paraId="566D4218" w14:textId="77777777" w:rsidR="00C77187" w:rsidRPr="001557C5" w:rsidRDefault="00C77187" w:rsidP="00C77187">
      <w:pPr>
        <w:spacing w:line="240" w:lineRule="auto"/>
        <w:ind w:firstLine="708"/>
        <w:jc w:val="center"/>
        <w:rPr>
          <w:rFonts w:ascii="Times New Roman" w:hAnsi="Times New Roman" w:cs="Times New Roman"/>
          <w:sz w:val="20"/>
          <w:szCs w:val="20"/>
        </w:rPr>
      </w:pPr>
      <w:r w:rsidRPr="001557C5">
        <w:rPr>
          <w:rFonts w:ascii="Times New Roman" w:hAnsi="Times New Roman" w:cs="Times New Roman"/>
          <w:sz w:val="20"/>
          <w:szCs w:val="20"/>
        </w:rPr>
        <w:t>Legenda: v zelenom - počet úmrtí, v modrom – cieľ EÚ do roku 2030</w:t>
      </w:r>
    </w:p>
    <w:p w14:paraId="5592EC01" w14:textId="65508F7C" w:rsidR="00C77187" w:rsidRPr="007D5CDB" w:rsidRDefault="00C77187" w:rsidP="007D5CDB">
      <w:pPr>
        <w:spacing w:line="240" w:lineRule="auto"/>
        <w:ind w:firstLine="708"/>
        <w:jc w:val="center"/>
        <w:rPr>
          <w:rFonts w:ascii="Times New Roman" w:hAnsi="Times New Roman" w:cs="Times New Roman"/>
          <w:sz w:val="20"/>
          <w:szCs w:val="20"/>
        </w:rPr>
      </w:pPr>
      <w:r w:rsidRPr="001557C5">
        <w:rPr>
          <w:rFonts w:ascii="Times New Roman" w:hAnsi="Times New Roman" w:cs="Times New Roman"/>
          <w:sz w:val="20"/>
          <w:szCs w:val="20"/>
        </w:rPr>
        <w:t>Zdroj: CARE (EÚ databáza dopravných nehôd)</w:t>
      </w:r>
      <w:r>
        <w:rPr>
          <w:rStyle w:val="Odkaznapoznmkupodiarou"/>
          <w:rFonts w:ascii="Times New Roman" w:hAnsi="Times New Roman" w:cs="Times New Roman"/>
          <w:sz w:val="20"/>
          <w:szCs w:val="20"/>
        </w:rPr>
        <w:footnoteReference w:id="6"/>
      </w:r>
    </w:p>
    <w:p w14:paraId="3A2A4CA3" w14:textId="2EEF6472" w:rsidR="00C77187" w:rsidRDefault="00015838" w:rsidP="00015838">
      <w:pPr>
        <w:spacing w:after="0" w:line="240" w:lineRule="auto"/>
        <w:ind w:firstLine="709"/>
        <w:jc w:val="both"/>
        <w:rPr>
          <w:rFonts w:ascii="Times New Roman" w:hAnsi="Times New Roman" w:cs="Times New Roman"/>
          <w:sz w:val="24"/>
          <w:szCs w:val="24"/>
        </w:rPr>
      </w:pPr>
      <w:r w:rsidRPr="005E5ECB">
        <w:rPr>
          <w:rFonts w:ascii="Times New Roman" w:hAnsi="Times New Roman" w:cs="Times New Roman"/>
          <w:sz w:val="24"/>
          <w:szCs w:val="24"/>
        </w:rPr>
        <w:t>Vývoj programovej línie EÚ v oblasti bezpečnosti ces</w:t>
      </w:r>
      <w:r w:rsidR="00C77187">
        <w:rPr>
          <w:rFonts w:ascii="Times New Roman" w:hAnsi="Times New Roman" w:cs="Times New Roman"/>
          <w:sz w:val="24"/>
          <w:szCs w:val="24"/>
        </w:rPr>
        <w:t>tnej premávky má</w:t>
      </w:r>
      <w:r>
        <w:rPr>
          <w:rFonts w:ascii="Times New Roman" w:hAnsi="Times New Roman" w:cs="Times New Roman"/>
          <w:sz w:val="24"/>
          <w:szCs w:val="24"/>
        </w:rPr>
        <w:t xml:space="preserve"> kontinuálny</w:t>
      </w:r>
      <w:r w:rsidR="00C77187">
        <w:rPr>
          <w:rFonts w:ascii="Times New Roman" w:hAnsi="Times New Roman" w:cs="Times New Roman"/>
          <w:sz w:val="24"/>
          <w:szCs w:val="24"/>
        </w:rPr>
        <w:t xml:space="preserve"> charakter</w:t>
      </w:r>
      <w:r>
        <w:rPr>
          <w:rFonts w:ascii="Times New Roman" w:hAnsi="Times New Roman" w:cs="Times New Roman"/>
          <w:sz w:val="24"/>
          <w:szCs w:val="24"/>
        </w:rPr>
        <w:t>. V </w:t>
      </w:r>
      <w:r w:rsidRPr="005E5ECB">
        <w:rPr>
          <w:rFonts w:ascii="Times New Roman" w:hAnsi="Times New Roman" w:cs="Times New Roman"/>
          <w:sz w:val="24"/>
          <w:szCs w:val="24"/>
        </w:rPr>
        <w:t>roku 2011 z</w:t>
      </w:r>
      <w:r w:rsidR="007D5CDB">
        <w:rPr>
          <w:rFonts w:ascii="Times New Roman" w:hAnsi="Times New Roman" w:cs="Times New Roman"/>
          <w:sz w:val="24"/>
          <w:szCs w:val="24"/>
        </w:rPr>
        <w:t>ačala EÚ pracovať na legislatívnom akte</w:t>
      </w:r>
      <w:r w:rsidR="00C77187">
        <w:rPr>
          <w:rFonts w:ascii="Times New Roman" w:hAnsi="Times New Roman" w:cs="Times New Roman"/>
          <w:sz w:val="24"/>
          <w:szCs w:val="24"/>
        </w:rPr>
        <w:t>, ktorého zámerom bola cielená reakcia</w:t>
      </w:r>
      <w:r w:rsidRPr="005E5ECB">
        <w:rPr>
          <w:rFonts w:ascii="Times New Roman" w:hAnsi="Times New Roman" w:cs="Times New Roman"/>
          <w:sz w:val="24"/>
          <w:szCs w:val="24"/>
        </w:rPr>
        <w:t xml:space="preserve"> na nevyhnutnosť vypracovania uceleného právneho základu na posilnenie cezhraničnej spolupráce policajných zložiek pri riešení dopravných priestupkov. </w:t>
      </w:r>
    </w:p>
    <w:p w14:paraId="535015BE" w14:textId="12D23B04" w:rsidR="00015838" w:rsidRPr="007116A4" w:rsidRDefault="00015838" w:rsidP="00015838">
      <w:pPr>
        <w:spacing w:after="0" w:line="240" w:lineRule="auto"/>
        <w:ind w:firstLine="709"/>
        <w:jc w:val="both"/>
        <w:rPr>
          <w:rFonts w:ascii="Times New Roman" w:hAnsi="Times New Roman" w:cs="Times New Roman"/>
          <w:b/>
          <w:sz w:val="24"/>
          <w:szCs w:val="24"/>
        </w:rPr>
      </w:pPr>
      <w:r w:rsidRPr="007D5CDB">
        <w:rPr>
          <w:rFonts w:ascii="Times New Roman" w:hAnsi="Times New Roman" w:cs="Times New Roman"/>
          <w:sz w:val="24"/>
          <w:szCs w:val="24"/>
        </w:rPr>
        <w:t>Smernica CBE</w:t>
      </w:r>
      <w:r w:rsidR="002D2D63" w:rsidRPr="007D5CDB">
        <w:rPr>
          <w:rStyle w:val="Odkaznapoznmkupodiarou"/>
          <w:rFonts w:ascii="Times New Roman" w:hAnsi="Times New Roman" w:cs="Times New Roman"/>
          <w:sz w:val="24"/>
          <w:szCs w:val="24"/>
        </w:rPr>
        <w:footnoteReference w:id="7"/>
      </w:r>
      <w:r>
        <w:rPr>
          <w:rFonts w:ascii="Times New Roman" w:hAnsi="Times New Roman" w:cs="Times New Roman"/>
          <w:sz w:val="24"/>
          <w:szCs w:val="24"/>
        </w:rPr>
        <w:t xml:space="preserve"> priniesla</w:t>
      </w:r>
      <w:r w:rsidRPr="005E5ECB">
        <w:rPr>
          <w:rFonts w:ascii="Times New Roman" w:hAnsi="Times New Roman" w:cs="Times New Roman"/>
          <w:sz w:val="24"/>
          <w:szCs w:val="24"/>
        </w:rPr>
        <w:t xml:space="preserve"> nový druh modernej a automatizovanej výmeny informácií medzi policajnými zložkami o účastníkoch cestnej premávky, ktorí nedodržali platné pravidlá cestnej premávky v členskom štáte, v ktorom nemajú pobyt.</w:t>
      </w:r>
      <w:r>
        <w:rPr>
          <w:rFonts w:ascii="Times New Roman" w:hAnsi="Times New Roman" w:cs="Times New Roman"/>
          <w:sz w:val="24"/>
          <w:szCs w:val="24"/>
        </w:rPr>
        <w:t xml:space="preserve"> </w:t>
      </w:r>
      <w:r w:rsidRPr="007116A4">
        <w:rPr>
          <w:rFonts w:ascii="Times New Roman" w:hAnsi="Times New Roman" w:cs="Times New Roman"/>
          <w:b/>
          <w:sz w:val="24"/>
          <w:szCs w:val="24"/>
        </w:rPr>
        <w:t>Nakoľko prináša pozitívne implikácie, týkajúce sa zvyšovania bezpečnosti cestnej premávky stala sa v marci 2023 jednou z troch smerníc, ktoré sú predmetom rokovania pracovnej skupiny Rady</w:t>
      </w:r>
      <w:r w:rsidR="00522D60" w:rsidRPr="007116A4">
        <w:rPr>
          <w:rFonts w:ascii="Times New Roman" w:hAnsi="Times New Roman" w:cs="Times New Roman"/>
          <w:b/>
          <w:sz w:val="24"/>
          <w:szCs w:val="24"/>
        </w:rPr>
        <w:t xml:space="preserve"> EÚ</w:t>
      </w:r>
      <w:r w:rsidRPr="007116A4">
        <w:rPr>
          <w:rFonts w:ascii="Times New Roman" w:hAnsi="Times New Roman" w:cs="Times New Roman"/>
          <w:b/>
          <w:sz w:val="24"/>
          <w:szCs w:val="24"/>
        </w:rPr>
        <w:t xml:space="preserve"> pre pozemnú dopravu</w:t>
      </w:r>
      <w:r w:rsidR="00522D60" w:rsidRPr="007116A4">
        <w:rPr>
          <w:rFonts w:ascii="Times New Roman" w:hAnsi="Times New Roman" w:cs="Times New Roman"/>
          <w:b/>
          <w:sz w:val="24"/>
          <w:szCs w:val="24"/>
        </w:rPr>
        <w:t>. Jej obsahový rámec sa má rozšíriť, avšak</w:t>
      </w:r>
      <w:r w:rsidRPr="007116A4">
        <w:rPr>
          <w:rFonts w:ascii="Times New Roman" w:hAnsi="Times New Roman" w:cs="Times New Roman"/>
          <w:b/>
          <w:sz w:val="24"/>
          <w:szCs w:val="24"/>
        </w:rPr>
        <w:t xml:space="preserve"> ide najmä o zmeny súvisiace so zvyšovaním kvality jej uplatňovania. </w:t>
      </w:r>
    </w:p>
    <w:p w14:paraId="63F15908" w14:textId="5318FCFA" w:rsidR="00015838" w:rsidRDefault="00015838" w:rsidP="00153AF6">
      <w:pPr>
        <w:spacing w:after="0" w:line="240" w:lineRule="auto"/>
        <w:ind w:firstLine="708"/>
        <w:jc w:val="both"/>
        <w:rPr>
          <w:rFonts w:ascii="Times New Roman" w:hAnsi="Times New Roman" w:cs="Times New Roman"/>
          <w:sz w:val="24"/>
          <w:szCs w:val="24"/>
        </w:rPr>
      </w:pPr>
    </w:p>
    <w:p w14:paraId="00ADD672" w14:textId="28087BCD" w:rsidR="00F23FAB" w:rsidRDefault="00F23FAB" w:rsidP="00153AF6">
      <w:pPr>
        <w:spacing w:after="0" w:line="240" w:lineRule="auto"/>
        <w:ind w:firstLine="708"/>
        <w:jc w:val="both"/>
        <w:rPr>
          <w:rFonts w:ascii="Times New Roman" w:hAnsi="Times New Roman" w:cs="Times New Roman"/>
          <w:sz w:val="24"/>
          <w:szCs w:val="24"/>
        </w:rPr>
      </w:pPr>
    </w:p>
    <w:p w14:paraId="4ECD8D29" w14:textId="6462971F" w:rsidR="000D5519" w:rsidRDefault="002D2D63" w:rsidP="001E47F4">
      <w:pPr>
        <w:keepNext/>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História a hlavný prínos Smernice</w:t>
      </w:r>
      <w:r w:rsidR="00522D60">
        <w:rPr>
          <w:rFonts w:ascii="Times New Roman" w:hAnsi="Times New Roman" w:cs="Times New Roman"/>
          <w:b/>
          <w:sz w:val="24"/>
          <w:szCs w:val="24"/>
        </w:rPr>
        <w:t xml:space="preserve"> CBE</w:t>
      </w:r>
    </w:p>
    <w:p w14:paraId="38FE2C01" w14:textId="32BF9FD2" w:rsidR="00C77187" w:rsidRDefault="00C77187" w:rsidP="001E47F4">
      <w:pPr>
        <w:keepNext/>
        <w:spacing w:after="0" w:line="240" w:lineRule="auto"/>
        <w:jc w:val="both"/>
        <w:rPr>
          <w:rFonts w:ascii="Times New Roman" w:hAnsi="Times New Roman" w:cs="Times New Roman"/>
          <w:sz w:val="24"/>
          <w:szCs w:val="24"/>
        </w:rPr>
      </w:pPr>
    </w:p>
    <w:p w14:paraId="3FC6A6ED" w14:textId="3143BED3" w:rsidR="00C21CB1" w:rsidRPr="00C21CB1" w:rsidRDefault="00C21CB1" w:rsidP="001E47F4">
      <w:pPr>
        <w:keepNext/>
        <w:spacing w:after="0" w:line="240" w:lineRule="auto"/>
        <w:ind w:firstLine="708"/>
        <w:jc w:val="both"/>
        <w:rPr>
          <w:rFonts w:ascii="Times New Roman" w:hAnsi="Times New Roman" w:cs="Times New Roman"/>
          <w:sz w:val="24"/>
          <w:szCs w:val="24"/>
        </w:rPr>
      </w:pPr>
      <w:r w:rsidRPr="00C21CB1">
        <w:rPr>
          <w:rFonts w:ascii="Times New Roman" w:hAnsi="Times New Roman" w:cs="Times New Roman"/>
          <w:sz w:val="24"/>
          <w:szCs w:val="24"/>
        </w:rPr>
        <w:t xml:space="preserve">Európska komisia v rámci oznámenia Európa v pohybe a na základe Strategického akčného plánu navrhla súbor tém na boj proti najväčším výzvam v oblasti bezpečnosti cestnej premávky, ktorými sú: 1. bezpečnosť infraštruktúry; 2. bezpečnosť vozidiel; 3. bezpečná účasť </w:t>
      </w:r>
      <w:r w:rsidR="00522D60">
        <w:rPr>
          <w:rFonts w:ascii="Times New Roman" w:hAnsi="Times New Roman" w:cs="Times New Roman"/>
          <w:sz w:val="24"/>
          <w:szCs w:val="24"/>
        </w:rPr>
        <w:t>v </w:t>
      </w:r>
      <w:r w:rsidRPr="00C21CB1">
        <w:rPr>
          <w:rFonts w:ascii="Times New Roman" w:hAnsi="Times New Roman" w:cs="Times New Roman"/>
          <w:sz w:val="24"/>
          <w:szCs w:val="24"/>
        </w:rPr>
        <w:t>cestnej premávke vrátane dodržiavania rýchlosti, nepožívania alkoholu a drog, nerozptyľovania sa a používania ochranného vybavenia; 4. zásah v núdzových situáciách.</w:t>
      </w:r>
      <w:r>
        <w:rPr>
          <w:rStyle w:val="Odkaznapoznmkupodiarou"/>
          <w:rFonts w:ascii="Times New Roman" w:hAnsi="Times New Roman" w:cs="Times New Roman"/>
          <w:sz w:val="24"/>
          <w:szCs w:val="24"/>
        </w:rPr>
        <w:footnoteReference w:id="8"/>
      </w:r>
      <w:r w:rsidRPr="00C21CB1">
        <w:rPr>
          <w:rFonts w:ascii="Times New Roman" w:hAnsi="Times New Roman" w:cs="Times New Roman"/>
          <w:sz w:val="24"/>
          <w:szCs w:val="24"/>
        </w:rPr>
        <w:t xml:space="preserve"> </w:t>
      </w:r>
    </w:p>
    <w:p w14:paraId="1C5FEA62" w14:textId="77777777" w:rsidR="003366F4" w:rsidRDefault="00C21CB1" w:rsidP="003366F4">
      <w:pPr>
        <w:spacing w:after="0" w:line="240" w:lineRule="auto"/>
        <w:ind w:firstLine="708"/>
        <w:jc w:val="both"/>
        <w:rPr>
          <w:rFonts w:ascii="Times New Roman" w:hAnsi="Times New Roman" w:cs="Times New Roman"/>
          <w:sz w:val="24"/>
          <w:szCs w:val="24"/>
        </w:rPr>
      </w:pPr>
      <w:r w:rsidRPr="00C21CB1">
        <w:rPr>
          <w:rFonts w:ascii="Times New Roman" w:hAnsi="Times New Roman" w:cs="Times New Roman"/>
          <w:sz w:val="24"/>
          <w:szCs w:val="24"/>
        </w:rPr>
        <w:t>„Bezpečná účasť v ce</w:t>
      </w:r>
      <w:r w:rsidR="00015838">
        <w:rPr>
          <w:rFonts w:ascii="Times New Roman" w:hAnsi="Times New Roman" w:cs="Times New Roman"/>
          <w:sz w:val="24"/>
          <w:szCs w:val="24"/>
        </w:rPr>
        <w:t>s</w:t>
      </w:r>
      <w:r w:rsidR="00522D60">
        <w:rPr>
          <w:rFonts w:ascii="Times New Roman" w:hAnsi="Times New Roman" w:cs="Times New Roman"/>
          <w:sz w:val="24"/>
          <w:szCs w:val="24"/>
        </w:rPr>
        <w:t>tnej premávke“ je tretím pilierom</w:t>
      </w:r>
      <w:r w:rsidR="003366F4">
        <w:rPr>
          <w:rFonts w:ascii="Times New Roman" w:hAnsi="Times New Roman" w:cs="Times New Roman"/>
          <w:sz w:val="24"/>
          <w:szCs w:val="24"/>
        </w:rPr>
        <w:t xml:space="preserve"> predchádzania úmrtiam </w:t>
      </w:r>
    </w:p>
    <w:p w14:paraId="5304878A" w14:textId="5CE6C6A7" w:rsidR="00C21CB1" w:rsidRPr="003366F4" w:rsidRDefault="00C21CB1" w:rsidP="003366F4">
      <w:pPr>
        <w:spacing w:after="0" w:line="240" w:lineRule="auto"/>
        <w:jc w:val="both"/>
        <w:rPr>
          <w:rFonts w:ascii="Times New Roman" w:hAnsi="Times New Roman" w:cs="Times New Roman"/>
          <w:sz w:val="24"/>
          <w:szCs w:val="24"/>
        </w:rPr>
      </w:pPr>
      <w:r w:rsidRPr="00C21CB1">
        <w:rPr>
          <w:rFonts w:ascii="Times New Roman" w:hAnsi="Times New Roman" w:cs="Times New Roman"/>
          <w:sz w:val="24"/>
          <w:szCs w:val="24"/>
        </w:rPr>
        <w:t>a vážnym zraneniam pri dopravných nehodách. Jej špecifick</w:t>
      </w:r>
      <w:r w:rsidR="00015838">
        <w:rPr>
          <w:rFonts w:ascii="Times New Roman" w:hAnsi="Times New Roman" w:cs="Times New Roman"/>
          <w:sz w:val="24"/>
          <w:szCs w:val="24"/>
        </w:rPr>
        <w:t xml:space="preserve">osť vyplýva najmä z faktu, že </w:t>
      </w:r>
      <w:r w:rsidRPr="00C21CB1">
        <w:rPr>
          <w:rFonts w:ascii="Times New Roman" w:hAnsi="Times New Roman" w:cs="Times New Roman"/>
          <w:sz w:val="24"/>
          <w:szCs w:val="24"/>
        </w:rPr>
        <w:t xml:space="preserve">pri dodržiavaní jej zásad zohráva kľúčovú rolu ľudský faktor. No hoci je agenda zlepšenia úrovne správania sa účastníkov cestnej premávky primárne v kompetencii členských štátov, </w:t>
      </w:r>
      <w:r w:rsidR="00522D60">
        <w:rPr>
          <w:rFonts w:ascii="Times New Roman" w:hAnsi="Times New Roman" w:cs="Times New Roman"/>
          <w:sz w:val="24"/>
          <w:szCs w:val="24"/>
        </w:rPr>
        <w:t xml:space="preserve">orgány </w:t>
      </w:r>
      <w:r w:rsidR="001A17D4" w:rsidRPr="00C21CB1">
        <w:rPr>
          <w:rFonts w:ascii="Times New Roman" w:hAnsi="Times New Roman" w:cs="Times New Roman"/>
          <w:sz w:val="24"/>
          <w:szCs w:val="24"/>
        </w:rPr>
        <w:t xml:space="preserve">EÚ </w:t>
      </w:r>
      <w:r w:rsidR="001A17D4">
        <w:rPr>
          <w:rFonts w:ascii="Times New Roman" w:hAnsi="Times New Roman" w:cs="Times New Roman"/>
          <w:sz w:val="24"/>
          <w:szCs w:val="24"/>
        </w:rPr>
        <w:t xml:space="preserve">sa </w:t>
      </w:r>
      <w:r w:rsidR="00522D60">
        <w:rPr>
          <w:rFonts w:ascii="Times New Roman" w:hAnsi="Times New Roman" w:cs="Times New Roman"/>
          <w:sz w:val="24"/>
          <w:szCs w:val="24"/>
        </w:rPr>
        <w:t xml:space="preserve">rozhodli rázne zasiahnuť </w:t>
      </w:r>
      <w:r w:rsidRPr="00C21CB1">
        <w:rPr>
          <w:rFonts w:ascii="Times New Roman" w:hAnsi="Times New Roman" w:cs="Times New Roman"/>
          <w:sz w:val="24"/>
          <w:szCs w:val="24"/>
        </w:rPr>
        <w:t xml:space="preserve">do vývoja tejto oblasti prostredníctvom prijatia </w:t>
      </w:r>
      <w:r w:rsidR="00522D60">
        <w:rPr>
          <w:rFonts w:ascii="Times New Roman" w:hAnsi="Times New Roman" w:cs="Times New Roman"/>
          <w:sz w:val="24"/>
          <w:szCs w:val="24"/>
        </w:rPr>
        <w:t>Smernice CBE, ktorá by napomohla</w:t>
      </w:r>
      <w:r w:rsidRPr="00C21CB1">
        <w:rPr>
          <w:rFonts w:ascii="Times New Roman" w:hAnsi="Times New Roman" w:cs="Times New Roman"/>
          <w:sz w:val="24"/>
          <w:szCs w:val="24"/>
        </w:rPr>
        <w:t xml:space="preserve"> všetkým členským štátom znížiť počet smrteľných nehôd a zranen</w:t>
      </w:r>
      <w:r w:rsidR="00522D60">
        <w:rPr>
          <w:rFonts w:ascii="Times New Roman" w:hAnsi="Times New Roman" w:cs="Times New Roman"/>
          <w:sz w:val="24"/>
          <w:szCs w:val="24"/>
        </w:rPr>
        <w:t xml:space="preserve">í, ako i materiálnych škôd. </w:t>
      </w:r>
      <w:r w:rsidR="00522D60" w:rsidRPr="007116A4">
        <w:rPr>
          <w:rFonts w:ascii="Times New Roman" w:hAnsi="Times New Roman" w:cs="Times New Roman"/>
          <w:b/>
          <w:sz w:val="24"/>
          <w:szCs w:val="24"/>
        </w:rPr>
        <w:t xml:space="preserve">Týmto opatrením boli položené základy novej formy </w:t>
      </w:r>
      <w:r w:rsidRPr="007116A4">
        <w:rPr>
          <w:rFonts w:ascii="Times New Roman" w:hAnsi="Times New Roman" w:cs="Times New Roman"/>
          <w:b/>
          <w:sz w:val="24"/>
          <w:szCs w:val="24"/>
        </w:rPr>
        <w:t xml:space="preserve">spolupráce policajných zložiek </w:t>
      </w:r>
      <w:r w:rsidR="00522D60" w:rsidRPr="007116A4">
        <w:rPr>
          <w:rFonts w:ascii="Times New Roman" w:hAnsi="Times New Roman" w:cs="Times New Roman"/>
          <w:b/>
          <w:sz w:val="24"/>
          <w:szCs w:val="24"/>
        </w:rPr>
        <w:t xml:space="preserve">členských štátov </w:t>
      </w:r>
      <w:r w:rsidRPr="007116A4">
        <w:rPr>
          <w:rFonts w:ascii="Times New Roman" w:hAnsi="Times New Roman" w:cs="Times New Roman"/>
          <w:b/>
          <w:sz w:val="24"/>
          <w:szCs w:val="24"/>
        </w:rPr>
        <w:t>zameraných na riešenie dopravných priestupkov.</w:t>
      </w:r>
    </w:p>
    <w:p w14:paraId="04D78B76" w14:textId="5C0DE709" w:rsidR="00EB1504" w:rsidRDefault="00EB1504" w:rsidP="00C21CB1">
      <w:pPr>
        <w:spacing w:after="0" w:line="240" w:lineRule="auto"/>
        <w:ind w:firstLine="708"/>
        <w:jc w:val="both"/>
        <w:rPr>
          <w:rFonts w:ascii="Times New Roman" w:hAnsi="Times New Roman" w:cs="Times New Roman"/>
          <w:sz w:val="24"/>
          <w:szCs w:val="24"/>
        </w:rPr>
      </w:pPr>
    </w:p>
    <w:p w14:paraId="1C6534D0" w14:textId="079B34B2" w:rsidR="00EB1504" w:rsidRDefault="00522D60" w:rsidP="00C21C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Právnym základom predmetnej </w:t>
      </w:r>
      <w:r w:rsidR="00EB1504" w:rsidRPr="00EB1504">
        <w:rPr>
          <w:rFonts w:ascii="Times New Roman" w:hAnsi="Times New Roman" w:cs="Times New Roman"/>
          <w:sz w:val="24"/>
          <w:szCs w:val="24"/>
        </w:rPr>
        <w:t xml:space="preserve">spolupráce </w:t>
      </w:r>
      <w:r>
        <w:rPr>
          <w:rFonts w:ascii="Times New Roman" w:hAnsi="Times New Roman" w:cs="Times New Roman"/>
          <w:sz w:val="24"/>
          <w:szCs w:val="24"/>
        </w:rPr>
        <w:t>sa stala prvotne</w:t>
      </w:r>
      <w:r w:rsidR="00EB1504" w:rsidRPr="00EB1504">
        <w:rPr>
          <w:rFonts w:ascii="Times New Roman" w:hAnsi="Times New Roman" w:cs="Times New Roman"/>
          <w:sz w:val="24"/>
          <w:szCs w:val="24"/>
        </w:rPr>
        <w:t xml:space="preserve"> Smernica Európskeho parlamentu a Rady 2011/82/EÚ, ktorou sa zjednodušuje cezhraničná výmena informácií o deliktoch na úseku bezpečnosti cestnej premávky </w:t>
      </w:r>
      <w:r w:rsidR="00EB1504" w:rsidRPr="00522D60">
        <w:rPr>
          <w:rFonts w:ascii="Times New Roman" w:hAnsi="Times New Roman" w:cs="Times New Roman"/>
          <w:sz w:val="24"/>
          <w:szCs w:val="24"/>
        </w:rPr>
        <w:t>(ďalej len „Smernica 2011/82/EÚ“)</w:t>
      </w:r>
      <w:r>
        <w:rPr>
          <w:rFonts w:ascii="Times New Roman" w:hAnsi="Times New Roman" w:cs="Times New Roman"/>
          <w:sz w:val="24"/>
          <w:szCs w:val="24"/>
        </w:rPr>
        <w:t xml:space="preserve"> s </w:t>
      </w:r>
      <w:r w:rsidR="00EB1504" w:rsidRPr="00EB1504">
        <w:rPr>
          <w:rFonts w:ascii="Times New Roman" w:hAnsi="Times New Roman" w:cs="Times New Roman"/>
          <w:sz w:val="24"/>
          <w:szCs w:val="24"/>
        </w:rPr>
        <w:t>účinnosťou od novembra 2013 (do mája 2015).</w:t>
      </w:r>
    </w:p>
    <w:p w14:paraId="13A2EC6A" w14:textId="17A489B2" w:rsidR="001A17D4" w:rsidRDefault="001A17D4" w:rsidP="00442029">
      <w:pPr>
        <w:spacing w:after="0" w:line="240" w:lineRule="auto"/>
        <w:jc w:val="both"/>
        <w:rPr>
          <w:rFonts w:ascii="Times New Roman" w:hAnsi="Times New Roman" w:cs="Times New Roman"/>
          <w:sz w:val="24"/>
          <w:szCs w:val="24"/>
        </w:rPr>
      </w:pPr>
    </w:p>
    <w:p w14:paraId="0A0D934F" w14:textId="5D30EBEA" w:rsidR="00442029" w:rsidRPr="00442029" w:rsidRDefault="00442029" w:rsidP="00442029">
      <w:pPr>
        <w:spacing w:after="0" w:line="240" w:lineRule="auto"/>
        <w:ind w:firstLine="708"/>
        <w:jc w:val="both"/>
        <w:rPr>
          <w:rFonts w:ascii="Times New Roman" w:hAnsi="Times New Roman" w:cs="Times New Roman"/>
          <w:sz w:val="24"/>
          <w:szCs w:val="24"/>
        </w:rPr>
      </w:pPr>
      <w:r w:rsidRPr="00442029">
        <w:rPr>
          <w:rFonts w:ascii="Times New Roman" w:hAnsi="Times New Roman" w:cs="Times New Roman"/>
          <w:sz w:val="24"/>
          <w:szCs w:val="24"/>
        </w:rPr>
        <w:t xml:space="preserve">Hlavným zámerom prijatia </w:t>
      </w:r>
      <w:r w:rsidR="00EB1504">
        <w:rPr>
          <w:rFonts w:ascii="Times New Roman" w:hAnsi="Times New Roman" w:cs="Times New Roman"/>
          <w:sz w:val="24"/>
          <w:szCs w:val="24"/>
        </w:rPr>
        <w:t xml:space="preserve">Smernice 2011/82/EÚ </w:t>
      </w:r>
      <w:r w:rsidRPr="00442029">
        <w:rPr>
          <w:rFonts w:ascii="Times New Roman" w:hAnsi="Times New Roman" w:cs="Times New Roman"/>
          <w:sz w:val="24"/>
          <w:szCs w:val="24"/>
        </w:rPr>
        <w:t>bolo náj</w:t>
      </w:r>
      <w:r w:rsidR="003366F4">
        <w:rPr>
          <w:rFonts w:ascii="Times New Roman" w:hAnsi="Times New Roman" w:cs="Times New Roman"/>
          <w:sz w:val="24"/>
          <w:szCs w:val="24"/>
        </w:rPr>
        <w:t>sť</w:t>
      </w:r>
      <w:r w:rsidRPr="00442029">
        <w:rPr>
          <w:rFonts w:ascii="Times New Roman" w:hAnsi="Times New Roman" w:cs="Times New Roman"/>
          <w:sz w:val="24"/>
          <w:szCs w:val="24"/>
        </w:rPr>
        <w:t xml:space="preserve"> možnosti, ako sa vysporiadať s dopravnými priestupkami, ktoré boli spáchané vozidlami registrovanými v inom členskom štáte, ako je členský štát, v ktorom došlo k priestupku. Hlavným impulzom Európskej komisie k vytvoreniu tohto opatrenia bol už spomínaný cieľ vytýčený v </w:t>
      </w:r>
      <w:r>
        <w:rPr>
          <w:rFonts w:ascii="Times New Roman" w:hAnsi="Times New Roman" w:cs="Times New Roman"/>
          <w:sz w:val="24"/>
          <w:szCs w:val="24"/>
        </w:rPr>
        <w:t>Orientácií európskej politiky v </w:t>
      </w:r>
      <w:r w:rsidRPr="00442029">
        <w:rPr>
          <w:rFonts w:ascii="Times New Roman" w:hAnsi="Times New Roman" w:cs="Times New Roman"/>
          <w:sz w:val="24"/>
          <w:szCs w:val="24"/>
        </w:rPr>
        <w:t xml:space="preserve">oblasti bezpečnosti cestnej premávky na roky 2011 </w:t>
      </w:r>
      <w:r w:rsidR="0075663E">
        <w:rPr>
          <w:rFonts w:ascii="Times New Roman" w:hAnsi="Times New Roman" w:cs="Times New Roman"/>
          <w:sz w:val="24"/>
          <w:szCs w:val="24"/>
        </w:rPr>
        <w:t>–</w:t>
      </w:r>
      <w:r w:rsidRPr="00442029">
        <w:rPr>
          <w:rFonts w:ascii="Times New Roman" w:hAnsi="Times New Roman" w:cs="Times New Roman"/>
          <w:sz w:val="24"/>
          <w:szCs w:val="24"/>
        </w:rPr>
        <w:t xml:space="preserve"> 2020, a to „znížiť počet úmrtí na cestách na polovicu v EÚ do roku 2020.“ Realitou na cestách bolo, že vo väčšine prípadov nemohol byť dopravný priestupok policajnými zložkami vyriešený, nakoľko identifikácia vodiča vozidla registrovaného v inom členskom štáte bola takmer nemožná, zároveň nebolo možné overiť adresu, na ktorú bolo vozidlo evidované. </w:t>
      </w:r>
    </w:p>
    <w:p w14:paraId="54015CDA" w14:textId="6DB7F054" w:rsidR="00442029" w:rsidRDefault="003366F4" w:rsidP="004420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442029" w:rsidRPr="00442029">
        <w:rPr>
          <w:rFonts w:ascii="Times New Roman" w:hAnsi="Times New Roman" w:cs="Times New Roman"/>
          <w:sz w:val="24"/>
          <w:szCs w:val="24"/>
        </w:rPr>
        <w:t>nými</w:t>
      </w:r>
      <w:r w:rsidR="007116A4">
        <w:rPr>
          <w:rFonts w:ascii="Times New Roman" w:hAnsi="Times New Roman" w:cs="Times New Roman"/>
          <w:sz w:val="24"/>
          <w:szCs w:val="24"/>
        </w:rPr>
        <w:t xml:space="preserve"> slovami </w:t>
      </w:r>
      <w:r>
        <w:rPr>
          <w:rFonts w:ascii="Times New Roman" w:hAnsi="Times New Roman" w:cs="Times New Roman"/>
          <w:sz w:val="24"/>
          <w:szCs w:val="24"/>
        </w:rPr>
        <w:t xml:space="preserve">to </w:t>
      </w:r>
      <w:r w:rsidR="007116A4">
        <w:rPr>
          <w:rFonts w:ascii="Times New Roman" w:hAnsi="Times New Roman" w:cs="Times New Roman"/>
          <w:sz w:val="24"/>
          <w:szCs w:val="24"/>
        </w:rPr>
        <w:t xml:space="preserve">znamená, že </w:t>
      </w:r>
      <w:r w:rsidR="00442029" w:rsidRPr="00442029">
        <w:rPr>
          <w:rFonts w:ascii="Times New Roman" w:hAnsi="Times New Roman" w:cs="Times New Roman"/>
          <w:sz w:val="24"/>
          <w:szCs w:val="24"/>
        </w:rPr>
        <w:t>konečné vyriešenie tohto druhu dopravných priestupkov bol</w:t>
      </w:r>
      <w:r w:rsidR="007116A4">
        <w:rPr>
          <w:rFonts w:ascii="Times New Roman" w:hAnsi="Times New Roman" w:cs="Times New Roman"/>
          <w:sz w:val="24"/>
          <w:szCs w:val="24"/>
        </w:rPr>
        <w:t>o</w:t>
      </w:r>
      <w:r w:rsidR="00442029" w:rsidRPr="00442029">
        <w:rPr>
          <w:rFonts w:ascii="Times New Roman" w:hAnsi="Times New Roman" w:cs="Times New Roman"/>
          <w:sz w:val="24"/>
          <w:szCs w:val="24"/>
        </w:rPr>
        <w:t xml:space="preserve"> </w:t>
      </w:r>
      <w:r w:rsidR="00EB1504">
        <w:rPr>
          <w:rFonts w:ascii="Times New Roman" w:hAnsi="Times New Roman" w:cs="Times New Roman"/>
          <w:sz w:val="24"/>
          <w:szCs w:val="24"/>
        </w:rPr>
        <w:t>viac ako ž</w:t>
      </w:r>
      <w:r w:rsidR="007116A4">
        <w:rPr>
          <w:rFonts w:ascii="Times New Roman" w:hAnsi="Times New Roman" w:cs="Times New Roman"/>
          <w:sz w:val="24"/>
          <w:szCs w:val="24"/>
        </w:rPr>
        <w:t>iadané</w:t>
      </w:r>
      <w:r w:rsidR="00EB1504">
        <w:rPr>
          <w:rFonts w:ascii="Times New Roman" w:hAnsi="Times New Roman" w:cs="Times New Roman"/>
          <w:sz w:val="24"/>
          <w:szCs w:val="24"/>
        </w:rPr>
        <w:t>. Pred prijatím</w:t>
      </w:r>
      <w:r w:rsidR="00442029">
        <w:rPr>
          <w:rFonts w:ascii="Times New Roman" w:hAnsi="Times New Roman" w:cs="Times New Roman"/>
          <w:sz w:val="24"/>
          <w:szCs w:val="24"/>
        </w:rPr>
        <w:t xml:space="preserve"> Smernice 2011/82/EÚ, </w:t>
      </w:r>
      <w:r w:rsidR="00442029" w:rsidRPr="00442029">
        <w:rPr>
          <w:rFonts w:ascii="Times New Roman" w:hAnsi="Times New Roman" w:cs="Times New Roman"/>
          <w:sz w:val="24"/>
          <w:szCs w:val="24"/>
        </w:rPr>
        <w:t>ktorou sa zjednodušuje cezhraničná v</w:t>
      </w:r>
      <w:r w:rsidR="00442029">
        <w:rPr>
          <w:rFonts w:ascii="Times New Roman" w:hAnsi="Times New Roman" w:cs="Times New Roman"/>
          <w:sz w:val="24"/>
          <w:szCs w:val="24"/>
        </w:rPr>
        <w:t>ýmena informácií o deliktoch na </w:t>
      </w:r>
      <w:r w:rsidR="00442029" w:rsidRPr="00442029">
        <w:rPr>
          <w:rFonts w:ascii="Times New Roman" w:hAnsi="Times New Roman" w:cs="Times New Roman"/>
          <w:sz w:val="24"/>
          <w:szCs w:val="24"/>
        </w:rPr>
        <w:t>úseku bezpečnosti cestnej</w:t>
      </w:r>
      <w:r w:rsidR="00442029">
        <w:rPr>
          <w:rFonts w:ascii="Times New Roman" w:hAnsi="Times New Roman" w:cs="Times New Roman"/>
          <w:sz w:val="24"/>
          <w:szCs w:val="24"/>
        </w:rPr>
        <w:t xml:space="preserve"> </w:t>
      </w:r>
      <w:r w:rsidR="00442029" w:rsidRPr="00442029">
        <w:rPr>
          <w:rFonts w:ascii="Times New Roman" w:hAnsi="Times New Roman" w:cs="Times New Roman"/>
          <w:sz w:val="24"/>
          <w:szCs w:val="24"/>
        </w:rPr>
        <w:t>premávky</w:t>
      </w:r>
      <w:r w:rsidR="0075663E">
        <w:rPr>
          <w:rFonts w:ascii="Times New Roman" w:hAnsi="Times New Roman" w:cs="Times New Roman"/>
          <w:sz w:val="24"/>
          <w:szCs w:val="24"/>
        </w:rPr>
        <w:t>,</w:t>
      </w:r>
      <w:r w:rsidR="00EB1504">
        <w:rPr>
          <w:rFonts w:ascii="Times New Roman" w:hAnsi="Times New Roman" w:cs="Times New Roman"/>
          <w:sz w:val="24"/>
          <w:szCs w:val="24"/>
        </w:rPr>
        <w:t xml:space="preserve"> </w:t>
      </w:r>
      <w:r w:rsidR="00442029" w:rsidRPr="00442029">
        <w:rPr>
          <w:rFonts w:ascii="Times New Roman" w:hAnsi="Times New Roman" w:cs="Times New Roman"/>
          <w:sz w:val="24"/>
          <w:szCs w:val="24"/>
        </w:rPr>
        <w:t xml:space="preserve">neexistoval totiž dokument, ktorý by dovoľoval policajným zložkám začať konanie o priestupku, ktorý bol spáchaný vozidlom registrovaným v inom členskom štáte. </w:t>
      </w:r>
    </w:p>
    <w:p w14:paraId="45D8F140" w14:textId="3DB89C2E" w:rsidR="00442029" w:rsidRPr="00442029" w:rsidRDefault="00442029" w:rsidP="00442029">
      <w:pPr>
        <w:spacing w:after="0" w:line="240" w:lineRule="auto"/>
        <w:ind w:firstLine="708"/>
        <w:jc w:val="both"/>
        <w:rPr>
          <w:rFonts w:ascii="Times New Roman" w:hAnsi="Times New Roman" w:cs="Times New Roman"/>
          <w:sz w:val="24"/>
          <w:szCs w:val="24"/>
        </w:rPr>
      </w:pPr>
      <w:r w:rsidRPr="00442029">
        <w:rPr>
          <w:rFonts w:ascii="Times New Roman" w:hAnsi="Times New Roman" w:cs="Times New Roman"/>
          <w:sz w:val="24"/>
          <w:szCs w:val="24"/>
        </w:rPr>
        <w:t>Jedinými existujúcimi možnosťami nadviazania spolupráce medzi policajnými zložkami boli rozhodnutia Rady 2008/615/SVV, rozhodnutia Rady 2008/616/SVV (</w:t>
      </w:r>
      <w:r w:rsidR="007116A4">
        <w:rPr>
          <w:rFonts w:ascii="Times New Roman" w:hAnsi="Times New Roman" w:cs="Times New Roman"/>
          <w:sz w:val="24"/>
          <w:szCs w:val="24"/>
        </w:rPr>
        <w:t xml:space="preserve">tzv. </w:t>
      </w:r>
      <w:r w:rsidRPr="00442029">
        <w:rPr>
          <w:rFonts w:ascii="Times New Roman" w:hAnsi="Times New Roman" w:cs="Times New Roman"/>
          <w:sz w:val="24"/>
          <w:szCs w:val="24"/>
        </w:rPr>
        <w:t>„</w:t>
      </w:r>
      <w:proofErr w:type="spellStart"/>
      <w:r w:rsidRPr="00442029">
        <w:rPr>
          <w:rFonts w:ascii="Times New Roman" w:hAnsi="Times New Roman" w:cs="Times New Roman"/>
          <w:sz w:val="24"/>
          <w:szCs w:val="24"/>
        </w:rPr>
        <w:t>prümské</w:t>
      </w:r>
      <w:proofErr w:type="spellEnd"/>
      <w:r w:rsidRPr="00442029">
        <w:rPr>
          <w:rFonts w:ascii="Times New Roman" w:hAnsi="Times New Roman" w:cs="Times New Roman"/>
          <w:sz w:val="24"/>
          <w:szCs w:val="24"/>
        </w:rPr>
        <w:t xml:space="preserve"> rozhodnutia“) alebo Viedenský dohovor o cestnej premávke z 8. novembra 1968.  </w:t>
      </w:r>
      <w:r w:rsidR="0075663E">
        <w:rPr>
          <w:rFonts w:ascii="Times New Roman" w:hAnsi="Times New Roman" w:cs="Times New Roman"/>
          <w:sz w:val="24"/>
          <w:szCs w:val="24"/>
        </w:rPr>
        <w:t>P</w:t>
      </w:r>
      <w:r w:rsidRPr="00442029">
        <w:rPr>
          <w:rFonts w:ascii="Times New Roman" w:hAnsi="Times New Roman" w:cs="Times New Roman"/>
          <w:sz w:val="24"/>
          <w:szCs w:val="24"/>
        </w:rPr>
        <w:t xml:space="preserve">rávny základ </w:t>
      </w:r>
      <w:r>
        <w:rPr>
          <w:rFonts w:ascii="Times New Roman" w:hAnsi="Times New Roman" w:cs="Times New Roman"/>
          <w:sz w:val="24"/>
          <w:szCs w:val="24"/>
        </w:rPr>
        <w:t>uvedených</w:t>
      </w:r>
      <w:r w:rsidRPr="00442029">
        <w:rPr>
          <w:rFonts w:ascii="Times New Roman" w:hAnsi="Times New Roman" w:cs="Times New Roman"/>
          <w:sz w:val="24"/>
          <w:szCs w:val="24"/>
        </w:rPr>
        <w:t xml:space="preserve"> dohôd v oblasti bezpečnosti cestnej premávky</w:t>
      </w:r>
      <w:r w:rsidR="0075663E">
        <w:rPr>
          <w:rFonts w:ascii="Times New Roman" w:hAnsi="Times New Roman" w:cs="Times New Roman"/>
          <w:sz w:val="24"/>
          <w:szCs w:val="24"/>
        </w:rPr>
        <w:t xml:space="preserve"> však</w:t>
      </w:r>
      <w:r w:rsidRPr="00442029">
        <w:rPr>
          <w:rFonts w:ascii="Times New Roman" w:hAnsi="Times New Roman" w:cs="Times New Roman"/>
          <w:sz w:val="24"/>
          <w:szCs w:val="24"/>
        </w:rPr>
        <w:t xml:space="preserve"> spočíva</w:t>
      </w:r>
      <w:r>
        <w:rPr>
          <w:rFonts w:ascii="Times New Roman" w:hAnsi="Times New Roman" w:cs="Times New Roman"/>
          <w:sz w:val="24"/>
          <w:szCs w:val="24"/>
        </w:rPr>
        <w:t>l</w:t>
      </w:r>
      <w:r w:rsidR="007116A4">
        <w:rPr>
          <w:rFonts w:ascii="Times New Roman" w:hAnsi="Times New Roman" w:cs="Times New Roman"/>
          <w:sz w:val="24"/>
          <w:szCs w:val="24"/>
        </w:rPr>
        <w:t xml:space="preserve"> najmä v </w:t>
      </w:r>
      <w:r w:rsidRPr="00442029">
        <w:rPr>
          <w:rFonts w:ascii="Times New Roman" w:hAnsi="Times New Roman" w:cs="Times New Roman"/>
          <w:sz w:val="24"/>
          <w:szCs w:val="24"/>
        </w:rPr>
        <w:t>spolupráci pokrývajúcej trestnoprávnu oblasť, čo znamená, že konanie o priestupku svoj</w:t>
      </w:r>
      <w:r w:rsidR="003366F4">
        <w:rPr>
          <w:rFonts w:ascii="Times New Roman" w:hAnsi="Times New Roman" w:cs="Times New Roman"/>
          <w:sz w:val="24"/>
          <w:szCs w:val="24"/>
        </w:rPr>
        <w:t>í</w:t>
      </w:r>
      <w:r w:rsidRPr="00442029">
        <w:rPr>
          <w:rFonts w:ascii="Times New Roman" w:hAnsi="Times New Roman" w:cs="Times New Roman"/>
          <w:sz w:val="24"/>
          <w:szCs w:val="24"/>
        </w:rPr>
        <w:t xml:space="preserve">m rozsahom pokrývajú nie celkom jednoznačným spôsobom. </w:t>
      </w:r>
    </w:p>
    <w:p w14:paraId="5E0237A8" w14:textId="24CF0639" w:rsidR="003A2D2B" w:rsidRPr="00CD4C9A" w:rsidRDefault="00442029" w:rsidP="003A2D2B">
      <w:pPr>
        <w:spacing w:after="0" w:line="240" w:lineRule="auto"/>
        <w:ind w:firstLine="708"/>
        <w:jc w:val="both"/>
        <w:rPr>
          <w:rFonts w:ascii="Times New Roman" w:hAnsi="Times New Roman" w:cs="Times New Roman"/>
          <w:b/>
          <w:sz w:val="24"/>
          <w:szCs w:val="24"/>
        </w:rPr>
      </w:pPr>
      <w:r w:rsidRPr="00442029">
        <w:rPr>
          <w:rFonts w:ascii="Times New Roman" w:hAnsi="Times New Roman" w:cs="Times New Roman"/>
          <w:sz w:val="24"/>
          <w:szCs w:val="24"/>
        </w:rPr>
        <w:t xml:space="preserve">Pri vytváraní Smernice 2011/82/EU Európska komisia vychádzala z faktov, že konkrétne 5 % z cestnej premávky tvoria tzv. vodiči nerezidenti, avšak tento podiel vodičov sa dopúšťa priestupku za prekročenie rýchlosti podielom až 15 %. </w:t>
      </w:r>
      <w:r w:rsidR="003366F4">
        <w:rPr>
          <w:rFonts w:ascii="Times New Roman" w:hAnsi="Times New Roman" w:cs="Times New Roman"/>
          <w:sz w:val="24"/>
          <w:szCs w:val="24"/>
        </w:rPr>
        <w:t>B</w:t>
      </w:r>
      <w:r w:rsidRPr="00442029">
        <w:rPr>
          <w:rFonts w:ascii="Times New Roman" w:hAnsi="Times New Roman" w:cs="Times New Roman"/>
          <w:sz w:val="24"/>
          <w:szCs w:val="24"/>
        </w:rPr>
        <w:t xml:space="preserve">olo poukázané </w:t>
      </w:r>
      <w:r w:rsidR="003366F4">
        <w:rPr>
          <w:rFonts w:ascii="Times New Roman" w:hAnsi="Times New Roman" w:cs="Times New Roman"/>
          <w:sz w:val="24"/>
          <w:szCs w:val="24"/>
        </w:rPr>
        <w:t xml:space="preserve">aj </w:t>
      </w:r>
      <w:r w:rsidRPr="00442029">
        <w:rPr>
          <w:rFonts w:ascii="Times New Roman" w:hAnsi="Times New Roman" w:cs="Times New Roman"/>
          <w:sz w:val="24"/>
          <w:szCs w:val="24"/>
        </w:rPr>
        <w:t xml:space="preserve">na to, že vodiči zahraničných vozidiel majú až trikrát vyššiu tendenciu páchať dopravné priestupky, ako </w:t>
      </w:r>
      <w:r w:rsidRPr="00442029">
        <w:rPr>
          <w:rFonts w:ascii="Times New Roman" w:hAnsi="Times New Roman" w:cs="Times New Roman"/>
          <w:sz w:val="24"/>
          <w:szCs w:val="24"/>
        </w:rPr>
        <w:lastRenderedPageBreak/>
        <w:t>vodiči rezidenti. V prípadoch, napríklad vo Francúzsku, kde je vysoký tranzit a cestovný ruch, môžu priestupky za prekročenie rýchlosti spáchané</w:t>
      </w:r>
      <w:r>
        <w:rPr>
          <w:rFonts w:ascii="Times New Roman" w:hAnsi="Times New Roman" w:cs="Times New Roman"/>
          <w:sz w:val="24"/>
          <w:szCs w:val="24"/>
        </w:rPr>
        <w:t xml:space="preserve"> nerezidentmi dosiahnuť 25</w:t>
      </w:r>
      <w:r w:rsidR="003366F4">
        <w:rPr>
          <w:rFonts w:ascii="Times New Roman" w:hAnsi="Times New Roman" w:cs="Times New Roman"/>
          <w:sz w:val="24"/>
          <w:szCs w:val="24"/>
        </w:rPr>
        <w:t xml:space="preserve"> </w:t>
      </w:r>
      <w:r w:rsidRPr="00442029">
        <w:rPr>
          <w:rFonts w:ascii="Times New Roman" w:hAnsi="Times New Roman" w:cs="Times New Roman"/>
          <w:sz w:val="24"/>
          <w:szCs w:val="24"/>
        </w:rPr>
        <w:t>% z celkového počtu priestupkov a počas veľmi rušných</w:t>
      </w:r>
      <w:r>
        <w:rPr>
          <w:rFonts w:ascii="Times New Roman" w:hAnsi="Times New Roman" w:cs="Times New Roman"/>
          <w:sz w:val="24"/>
          <w:szCs w:val="24"/>
        </w:rPr>
        <w:t xml:space="preserve"> období roka dosiahnuť 40 až 50</w:t>
      </w:r>
      <w:r w:rsidR="003366F4">
        <w:rPr>
          <w:rFonts w:ascii="Times New Roman" w:hAnsi="Times New Roman" w:cs="Times New Roman"/>
          <w:sz w:val="24"/>
          <w:szCs w:val="24"/>
        </w:rPr>
        <w:t xml:space="preserve"> </w:t>
      </w:r>
      <w:r w:rsidR="00EB1504">
        <w:rPr>
          <w:rFonts w:ascii="Times New Roman" w:hAnsi="Times New Roman" w:cs="Times New Roman"/>
          <w:sz w:val="24"/>
          <w:szCs w:val="24"/>
        </w:rPr>
        <w:t>%. V </w:t>
      </w:r>
      <w:r w:rsidRPr="00442029">
        <w:rPr>
          <w:rFonts w:ascii="Times New Roman" w:hAnsi="Times New Roman" w:cs="Times New Roman"/>
          <w:sz w:val="24"/>
          <w:szCs w:val="24"/>
        </w:rPr>
        <w:t xml:space="preserve">tejto súvislosti mali byť pozitívne účinky novej legislatívy zaujímavé najmä pre krajiny ako Rakúsko, Belgicko, Luxembursko, Francúzsko, Nemecko, Maďarsko, Taliansko, Poľsko a Španielsko. </w:t>
      </w:r>
      <w:r w:rsidRPr="00CD4C9A">
        <w:rPr>
          <w:rFonts w:ascii="Times New Roman" w:hAnsi="Times New Roman" w:cs="Times New Roman"/>
          <w:b/>
          <w:sz w:val="24"/>
          <w:szCs w:val="24"/>
        </w:rPr>
        <w:t>Nová legislatíva mala mať silný odstrašujúci účinok, resp. mala motivovať vodičov k dodržiavaniu dopravných predpisov platných v hostiteľskej krajine.</w:t>
      </w:r>
    </w:p>
    <w:p w14:paraId="192C0ED3" w14:textId="77777777" w:rsidR="003A2D2B" w:rsidRDefault="003A2D2B" w:rsidP="00442029">
      <w:pPr>
        <w:spacing w:after="0" w:line="240" w:lineRule="auto"/>
        <w:ind w:firstLine="708"/>
        <w:jc w:val="both"/>
        <w:rPr>
          <w:rFonts w:ascii="Times New Roman" w:hAnsi="Times New Roman" w:cs="Times New Roman"/>
          <w:sz w:val="24"/>
          <w:szCs w:val="24"/>
        </w:rPr>
      </w:pPr>
    </w:p>
    <w:p w14:paraId="4D92708E" w14:textId="3E09C663" w:rsidR="00EB1504" w:rsidRPr="00EB1504" w:rsidRDefault="00EB1504" w:rsidP="00EB1504">
      <w:pPr>
        <w:spacing w:after="0" w:line="240" w:lineRule="auto"/>
        <w:ind w:firstLine="708"/>
        <w:jc w:val="both"/>
        <w:rPr>
          <w:rFonts w:ascii="Times New Roman" w:hAnsi="Times New Roman" w:cs="Times New Roman"/>
          <w:sz w:val="24"/>
          <w:szCs w:val="24"/>
        </w:rPr>
      </w:pPr>
      <w:r w:rsidRPr="00EB1504">
        <w:rPr>
          <w:rFonts w:ascii="Times New Roman" w:hAnsi="Times New Roman" w:cs="Times New Roman"/>
          <w:sz w:val="24"/>
          <w:szCs w:val="24"/>
        </w:rPr>
        <w:t>Cieľ Smernice 2011/82/EÚ bol definovaný v článku 1 ako rozvoj bezpečnosti cestnej premávky prostredníctvom zabezpečenia vysokej úrovne ochrany pre všetkých účastníkov cestnej premávky v EÚ prostredníctvom zjednodušenia cezhraničnej výmeny informácií</w:t>
      </w:r>
      <w:r w:rsidR="00522D60">
        <w:rPr>
          <w:rFonts w:ascii="Times New Roman" w:hAnsi="Times New Roman" w:cs="Times New Roman"/>
          <w:sz w:val="24"/>
          <w:szCs w:val="24"/>
        </w:rPr>
        <w:t xml:space="preserve"> o </w:t>
      </w:r>
      <w:r w:rsidRPr="00EB1504">
        <w:rPr>
          <w:rFonts w:ascii="Times New Roman" w:hAnsi="Times New Roman" w:cs="Times New Roman"/>
          <w:sz w:val="24"/>
          <w:szCs w:val="24"/>
        </w:rPr>
        <w:t xml:space="preserve">priestupkoch (resp. deliktoch) na úseku bezpečnosti cestnej premávky, a tým uplatňovaním sankcií, ak boli tieto delikty spáchané s vozidlom, ktoré je evidované v inom členskom štáte, ako je štát, v ktorom bol delikt spáchaný. </w:t>
      </w:r>
    </w:p>
    <w:p w14:paraId="67F57DA6" w14:textId="77777777" w:rsidR="008618EF" w:rsidRDefault="00EB1504" w:rsidP="00EB1504">
      <w:pPr>
        <w:spacing w:after="0" w:line="240" w:lineRule="auto"/>
        <w:ind w:firstLine="708"/>
        <w:jc w:val="both"/>
        <w:rPr>
          <w:rFonts w:ascii="Times New Roman" w:hAnsi="Times New Roman" w:cs="Times New Roman"/>
          <w:sz w:val="24"/>
          <w:szCs w:val="24"/>
        </w:rPr>
      </w:pPr>
      <w:r w:rsidRPr="00EB1504">
        <w:rPr>
          <w:rFonts w:ascii="Times New Roman" w:hAnsi="Times New Roman" w:cs="Times New Roman"/>
          <w:sz w:val="24"/>
          <w:szCs w:val="24"/>
        </w:rPr>
        <w:t xml:space="preserve">Medzi konkrétne priestupky na úseku bezpečnosti cestnej premávky, ktoré zadefinovali rozsah Smernice 2011/82/EÚ v článku 2 patria: </w:t>
      </w:r>
    </w:p>
    <w:p w14:paraId="36FB6412" w14:textId="0A02E21A" w:rsidR="008618EF" w:rsidRPr="008618EF" w:rsidRDefault="00EB1504" w:rsidP="008618EF">
      <w:pPr>
        <w:pStyle w:val="Odsekzoznamu"/>
        <w:numPr>
          <w:ilvl w:val="0"/>
          <w:numId w:val="7"/>
        </w:numPr>
        <w:spacing w:after="0" w:line="240" w:lineRule="auto"/>
        <w:jc w:val="both"/>
        <w:rPr>
          <w:rFonts w:ascii="Times New Roman" w:hAnsi="Times New Roman" w:cs="Times New Roman"/>
          <w:sz w:val="24"/>
          <w:szCs w:val="24"/>
        </w:rPr>
      </w:pPr>
      <w:r w:rsidRPr="008618EF">
        <w:rPr>
          <w:rFonts w:ascii="Times New Roman" w:hAnsi="Times New Roman" w:cs="Times New Roman"/>
          <w:sz w:val="24"/>
          <w:szCs w:val="24"/>
        </w:rPr>
        <w:t xml:space="preserve">prekročenie rýchlosti; </w:t>
      </w:r>
    </w:p>
    <w:p w14:paraId="1DE444BE" w14:textId="0CD892FB" w:rsidR="008618EF" w:rsidRPr="008618EF" w:rsidRDefault="00EB1504" w:rsidP="008618EF">
      <w:pPr>
        <w:pStyle w:val="Odsekzoznamu"/>
        <w:numPr>
          <w:ilvl w:val="0"/>
          <w:numId w:val="7"/>
        </w:numPr>
        <w:spacing w:after="0" w:line="240" w:lineRule="auto"/>
        <w:jc w:val="both"/>
        <w:rPr>
          <w:rFonts w:ascii="Times New Roman" w:hAnsi="Times New Roman" w:cs="Times New Roman"/>
          <w:sz w:val="24"/>
          <w:szCs w:val="24"/>
        </w:rPr>
      </w:pPr>
      <w:r w:rsidRPr="008618EF">
        <w:rPr>
          <w:rFonts w:ascii="Times New Roman" w:hAnsi="Times New Roman" w:cs="Times New Roman"/>
          <w:sz w:val="24"/>
          <w:szCs w:val="24"/>
        </w:rPr>
        <w:t xml:space="preserve">nepoužitie bezpečnostného pásu; </w:t>
      </w:r>
    </w:p>
    <w:p w14:paraId="50EA9615" w14:textId="04134ECD" w:rsidR="008618EF" w:rsidRPr="008618EF" w:rsidRDefault="00EB1504" w:rsidP="008618EF">
      <w:pPr>
        <w:pStyle w:val="Odsekzoznamu"/>
        <w:numPr>
          <w:ilvl w:val="0"/>
          <w:numId w:val="7"/>
        </w:numPr>
        <w:spacing w:after="0" w:line="240" w:lineRule="auto"/>
        <w:jc w:val="both"/>
        <w:rPr>
          <w:rFonts w:ascii="Times New Roman" w:hAnsi="Times New Roman" w:cs="Times New Roman"/>
          <w:sz w:val="24"/>
          <w:szCs w:val="24"/>
        </w:rPr>
      </w:pPr>
      <w:r w:rsidRPr="008618EF">
        <w:rPr>
          <w:rFonts w:ascii="Times New Roman" w:hAnsi="Times New Roman" w:cs="Times New Roman"/>
          <w:sz w:val="24"/>
          <w:szCs w:val="24"/>
        </w:rPr>
        <w:t xml:space="preserve">nezastavenie na červený svetelný signál na svetelnom signalizačnom zariadení; </w:t>
      </w:r>
    </w:p>
    <w:p w14:paraId="76370DEA" w14:textId="3DE3B948" w:rsidR="008618EF" w:rsidRPr="008618EF" w:rsidRDefault="00EB1504" w:rsidP="008618EF">
      <w:pPr>
        <w:pStyle w:val="Odsekzoznamu"/>
        <w:numPr>
          <w:ilvl w:val="0"/>
          <w:numId w:val="7"/>
        </w:numPr>
        <w:spacing w:after="0" w:line="240" w:lineRule="auto"/>
        <w:jc w:val="both"/>
        <w:rPr>
          <w:rFonts w:ascii="Times New Roman" w:hAnsi="Times New Roman" w:cs="Times New Roman"/>
          <w:sz w:val="24"/>
          <w:szCs w:val="24"/>
        </w:rPr>
      </w:pPr>
      <w:r w:rsidRPr="008618EF">
        <w:rPr>
          <w:rFonts w:ascii="Times New Roman" w:hAnsi="Times New Roman" w:cs="Times New Roman"/>
          <w:sz w:val="24"/>
          <w:szCs w:val="24"/>
        </w:rPr>
        <w:t xml:space="preserve">jazda pod vplyvom alkoholu; </w:t>
      </w:r>
    </w:p>
    <w:p w14:paraId="43DB2E48" w14:textId="39F14BA8" w:rsidR="008618EF" w:rsidRPr="008618EF" w:rsidRDefault="00EB1504" w:rsidP="008618EF">
      <w:pPr>
        <w:pStyle w:val="Odsekzoznamu"/>
        <w:numPr>
          <w:ilvl w:val="0"/>
          <w:numId w:val="7"/>
        </w:numPr>
        <w:spacing w:after="0" w:line="240" w:lineRule="auto"/>
        <w:jc w:val="both"/>
        <w:rPr>
          <w:rFonts w:ascii="Times New Roman" w:hAnsi="Times New Roman" w:cs="Times New Roman"/>
          <w:sz w:val="24"/>
          <w:szCs w:val="24"/>
        </w:rPr>
      </w:pPr>
      <w:r w:rsidRPr="008618EF">
        <w:rPr>
          <w:rFonts w:ascii="Times New Roman" w:hAnsi="Times New Roman" w:cs="Times New Roman"/>
          <w:sz w:val="24"/>
          <w:szCs w:val="24"/>
        </w:rPr>
        <w:t xml:space="preserve">jazda pod vplyvom návykových látok; </w:t>
      </w:r>
    </w:p>
    <w:p w14:paraId="600831CC" w14:textId="1CF052B8" w:rsidR="008618EF" w:rsidRPr="008618EF" w:rsidRDefault="00EB1504" w:rsidP="008618EF">
      <w:pPr>
        <w:pStyle w:val="Odsekzoznamu"/>
        <w:numPr>
          <w:ilvl w:val="0"/>
          <w:numId w:val="7"/>
        </w:numPr>
        <w:spacing w:after="0" w:line="240" w:lineRule="auto"/>
        <w:jc w:val="both"/>
        <w:rPr>
          <w:rFonts w:ascii="Times New Roman" w:hAnsi="Times New Roman" w:cs="Times New Roman"/>
          <w:sz w:val="24"/>
          <w:szCs w:val="24"/>
        </w:rPr>
      </w:pPr>
      <w:r w:rsidRPr="008618EF">
        <w:rPr>
          <w:rFonts w:ascii="Times New Roman" w:hAnsi="Times New Roman" w:cs="Times New Roman"/>
          <w:sz w:val="24"/>
          <w:szCs w:val="24"/>
        </w:rPr>
        <w:t xml:space="preserve">nepoužitie ochrannej prilby; </w:t>
      </w:r>
    </w:p>
    <w:p w14:paraId="6FEA17A0" w14:textId="5654EBE9" w:rsidR="008618EF" w:rsidRPr="008618EF" w:rsidRDefault="00EB1504" w:rsidP="008618EF">
      <w:pPr>
        <w:pStyle w:val="Odsekzoznamu"/>
        <w:numPr>
          <w:ilvl w:val="0"/>
          <w:numId w:val="7"/>
        </w:numPr>
        <w:spacing w:after="0" w:line="240" w:lineRule="auto"/>
        <w:jc w:val="both"/>
        <w:rPr>
          <w:rFonts w:ascii="Times New Roman" w:hAnsi="Times New Roman" w:cs="Times New Roman"/>
          <w:sz w:val="24"/>
          <w:szCs w:val="24"/>
        </w:rPr>
      </w:pPr>
      <w:r w:rsidRPr="008618EF">
        <w:rPr>
          <w:rFonts w:ascii="Times New Roman" w:hAnsi="Times New Roman" w:cs="Times New Roman"/>
          <w:sz w:val="24"/>
          <w:szCs w:val="24"/>
        </w:rPr>
        <w:t xml:space="preserve">nedovolená jazda v jazdnom pruhu; </w:t>
      </w:r>
    </w:p>
    <w:p w14:paraId="05F4D52D" w14:textId="6C53EB29" w:rsidR="00EB1504" w:rsidRDefault="00EB1504" w:rsidP="008618EF">
      <w:pPr>
        <w:pStyle w:val="Odsekzoznamu"/>
        <w:numPr>
          <w:ilvl w:val="0"/>
          <w:numId w:val="7"/>
        </w:numPr>
        <w:spacing w:after="0" w:line="240" w:lineRule="auto"/>
        <w:jc w:val="both"/>
        <w:rPr>
          <w:rFonts w:ascii="Times New Roman" w:hAnsi="Times New Roman" w:cs="Times New Roman"/>
          <w:sz w:val="24"/>
          <w:szCs w:val="24"/>
        </w:rPr>
      </w:pPr>
      <w:r w:rsidRPr="008618EF">
        <w:rPr>
          <w:rFonts w:ascii="Times New Roman" w:hAnsi="Times New Roman" w:cs="Times New Roman"/>
          <w:sz w:val="24"/>
          <w:szCs w:val="24"/>
        </w:rPr>
        <w:t>nedovolené použitie mobilného telefónu alebo akéhokoľvek iného komunikačného zariadenia počas jazdy.</w:t>
      </w:r>
    </w:p>
    <w:p w14:paraId="6A718272" w14:textId="77777777" w:rsidR="008618EF" w:rsidRPr="008618EF" w:rsidRDefault="008618EF" w:rsidP="008618EF">
      <w:pPr>
        <w:pStyle w:val="Odsekzoznamu"/>
        <w:spacing w:after="0" w:line="240" w:lineRule="auto"/>
        <w:ind w:left="1068"/>
        <w:jc w:val="both"/>
        <w:rPr>
          <w:rFonts w:ascii="Times New Roman" w:hAnsi="Times New Roman" w:cs="Times New Roman"/>
          <w:sz w:val="24"/>
          <w:szCs w:val="24"/>
        </w:rPr>
      </w:pPr>
    </w:p>
    <w:p w14:paraId="1CA2CDCE" w14:textId="32DC82B7" w:rsidR="00EB1504" w:rsidRDefault="00EB1504" w:rsidP="00EB1504">
      <w:pPr>
        <w:spacing w:after="0" w:line="240" w:lineRule="auto"/>
        <w:ind w:firstLine="708"/>
        <w:jc w:val="both"/>
        <w:rPr>
          <w:rFonts w:ascii="Times New Roman" w:hAnsi="Times New Roman" w:cs="Times New Roman"/>
          <w:sz w:val="24"/>
          <w:szCs w:val="24"/>
        </w:rPr>
      </w:pPr>
      <w:r w:rsidRPr="00EB1504">
        <w:rPr>
          <w:rFonts w:ascii="Times New Roman" w:hAnsi="Times New Roman" w:cs="Times New Roman"/>
          <w:sz w:val="24"/>
          <w:szCs w:val="24"/>
        </w:rPr>
        <w:t xml:space="preserve"> </w:t>
      </w:r>
      <w:r w:rsidR="003366F4">
        <w:rPr>
          <w:rFonts w:ascii="Times New Roman" w:hAnsi="Times New Roman" w:cs="Times New Roman"/>
          <w:sz w:val="24"/>
          <w:szCs w:val="24"/>
        </w:rPr>
        <w:t xml:space="preserve">Cieľom </w:t>
      </w:r>
      <w:r w:rsidRPr="00EB1504">
        <w:rPr>
          <w:rFonts w:ascii="Times New Roman" w:hAnsi="Times New Roman" w:cs="Times New Roman"/>
          <w:sz w:val="24"/>
          <w:szCs w:val="24"/>
        </w:rPr>
        <w:t>Smernic</w:t>
      </w:r>
      <w:r w:rsidR="003366F4">
        <w:rPr>
          <w:rFonts w:ascii="Times New Roman" w:hAnsi="Times New Roman" w:cs="Times New Roman"/>
          <w:sz w:val="24"/>
          <w:szCs w:val="24"/>
        </w:rPr>
        <w:t>e</w:t>
      </w:r>
      <w:r w:rsidRPr="00EB1504">
        <w:rPr>
          <w:rFonts w:ascii="Times New Roman" w:hAnsi="Times New Roman" w:cs="Times New Roman"/>
          <w:sz w:val="24"/>
          <w:szCs w:val="24"/>
        </w:rPr>
        <w:t xml:space="preserve"> </w:t>
      </w:r>
      <w:r w:rsidR="00522D60">
        <w:rPr>
          <w:rFonts w:ascii="Times New Roman" w:hAnsi="Times New Roman" w:cs="Times New Roman"/>
          <w:sz w:val="24"/>
          <w:szCs w:val="24"/>
        </w:rPr>
        <w:t xml:space="preserve">2011/82/EÚ </w:t>
      </w:r>
      <w:r w:rsidR="003366F4">
        <w:rPr>
          <w:rFonts w:ascii="Times New Roman" w:hAnsi="Times New Roman" w:cs="Times New Roman"/>
          <w:sz w:val="24"/>
          <w:szCs w:val="24"/>
        </w:rPr>
        <w:t>nebolo</w:t>
      </w:r>
      <w:r w:rsidRPr="00EB1504">
        <w:rPr>
          <w:rFonts w:ascii="Times New Roman" w:hAnsi="Times New Roman" w:cs="Times New Roman"/>
          <w:sz w:val="24"/>
          <w:szCs w:val="24"/>
        </w:rPr>
        <w:t xml:space="preserve"> harmonizovať povahu priestupkov a ani druh uložených sankcií. O vyhodnotení priestupku a sankciách rozhoduje vnútroš</w:t>
      </w:r>
      <w:r w:rsidR="008618EF">
        <w:rPr>
          <w:rFonts w:ascii="Times New Roman" w:hAnsi="Times New Roman" w:cs="Times New Roman"/>
          <w:sz w:val="24"/>
          <w:szCs w:val="24"/>
        </w:rPr>
        <w:t xml:space="preserve">tátne právo krajiny, v ktorej k </w:t>
      </w:r>
      <w:r w:rsidRPr="00EB1504">
        <w:rPr>
          <w:rFonts w:ascii="Times New Roman" w:hAnsi="Times New Roman" w:cs="Times New Roman"/>
          <w:sz w:val="24"/>
          <w:szCs w:val="24"/>
        </w:rPr>
        <w:t>priestupku došlo. Smernica</w:t>
      </w:r>
      <w:r w:rsidR="00522D60">
        <w:rPr>
          <w:rFonts w:ascii="Times New Roman" w:hAnsi="Times New Roman" w:cs="Times New Roman"/>
          <w:sz w:val="24"/>
          <w:szCs w:val="24"/>
        </w:rPr>
        <w:t xml:space="preserve"> 2011/82/EÚ</w:t>
      </w:r>
      <w:r w:rsidRPr="00EB1504">
        <w:rPr>
          <w:rFonts w:ascii="Times New Roman" w:hAnsi="Times New Roman" w:cs="Times New Roman"/>
          <w:sz w:val="24"/>
          <w:szCs w:val="24"/>
        </w:rPr>
        <w:t xml:space="preserve"> sa zaoberá iba finančn</w:t>
      </w:r>
      <w:r w:rsidR="008618EF">
        <w:rPr>
          <w:rFonts w:ascii="Times New Roman" w:hAnsi="Times New Roman" w:cs="Times New Roman"/>
          <w:sz w:val="24"/>
          <w:szCs w:val="24"/>
        </w:rPr>
        <w:t>ými pokutami; konania spojené s </w:t>
      </w:r>
      <w:r w:rsidRPr="00EB1504">
        <w:rPr>
          <w:rFonts w:ascii="Times New Roman" w:hAnsi="Times New Roman" w:cs="Times New Roman"/>
          <w:sz w:val="24"/>
          <w:szCs w:val="24"/>
        </w:rPr>
        <w:t>vodičským preukazom a odobratím vodičského preukazu nerieši.</w:t>
      </w:r>
    </w:p>
    <w:p w14:paraId="1127C79A" w14:textId="77777777" w:rsidR="00EB1504" w:rsidRDefault="00EB1504" w:rsidP="00EB1504">
      <w:pPr>
        <w:spacing w:after="0" w:line="240" w:lineRule="auto"/>
        <w:ind w:firstLine="708"/>
        <w:jc w:val="both"/>
        <w:rPr>
          <w:rFonts w:ascii="Times New Roman" w:hAnsi="Times New Roman" w:cs="Times New Roman"/>
          <w:sz w:val="24"/>
          <w:szCs w:val="24"/>
        </w:rPr>
      </w:pPr>
    </w:p>
    <w:p w14:paraId="155124DF" w14:textId="6DA75D20" w:rsidR="00EB1504" w:rsidRPr="00EB1504" w:rsidRDefault="00EB1504" w:rsidP="00EB1504">
      <w:pPr>
        <w:spacing w:after="0" w:line="240" w:lineRule="auto"/>
        <w:ind w:firstLine="708"/>
        <w:jc w:val="both"/>
        <w:rPr>
          <w:rFonts w:ascii="Times New Roman" w:hAnsi="Times New Roman" w:cs="Times New Roman"/>
          <w:sz w:val="24"/>
          <w:szCs w:val="24"/>
        </w:rPr>
      </w:pPr>
      <w:r w:rsidRPr="00EB1504">
        <w:rPr>
          <w:rFonts w:ascii="Times New Roman" w:hAnsi="Times New Roman" w:cs="Times New Roman"/>
          <w:sz w:val="24"/>
          <w:szCs w:val="24"/>
        </w:rPr>
        <w:t xml:space="preserve">V januári roku 2012 Európska komisia po prijatí Smernice 2011/82/EÚ podala žalobu proti Európskemu </w:t>
      </w:r>
      <w:r w:rsidR="00522D60">
        <w:rPr>
          <w:rFonts w:ascii="Times New Roman" w:hAnsi="Times New Roman" w:cs="Times New Roman"/>
          <w:sz w:val="24"/>
          <w:szCs w:val="24"/>
        </w:rPr>
        <w:t>parlamentu a Rade EÚ</w:t>
      </w:r>
      <w:r w:rsidRPr="00EB1504">
        <w:rPr>
          <w:rFonts w:ascii="Times New Roman" w:hAnsi="Times New Roman" w:cs="Times New Roman"/>
          <w:sz w:val="24"/>
          <w:szCs w:val="24"/>
        </w:rPr>
        <w:t xml:space="preserve"> o neplatnosti Smernice 2011/82/EÚ. Európska komisia svojou žalobou navrhla, aby Súdny dvor jednak zrušil Smernicu 2011/82/EÚ, a jednak aby v prípade jej zrušenia konštatoval, že jej účinky sa považujú za konečné. Hlavná argumentácia Európskej komisie bola založená na tom, že právny základ</w:t>
      </w:r>
      <w:r w:rsidR="00522D60">
        <w:rPr>
          <w:rFonts w:ascii="Times New Roman" w:hAnsi="Times New Roman" w:cs="Times New Roman"/>
          <w:sz w:val="24"/>
          <w:szCs w:val="24"/>
        </w:rPr>
        <w:t xml:space="preserve"> </w:t>
      </w:r>
      <w:r w:rsidRPr="00EB1504">
        <w:rPr>
          <w:rFonts w:ascii="Times New Roman" w:hAnsi="Times New Roman" w:cs="Times New Roman"/>
          <w:sz w:val="24"/>
          <w:szCs w:val="24"/>
        </w:rPr>
        <w:t>- článok 87 ods. 2 ZFEÚ</w:t>
      </w:r>
      <w:r w:rsidR="00522D60">
        <w:rPr>
          <w:rStyle w:val="Odkaznapoznmkupodiarou"/>
          <w:rFonts w:ascii="Times New Roman" w:hAnsi="Times New Roman" w:cs="Times New Roman"/>
          <w:sz w:val="24"/>
          <w:szCs w:val="24"/>
        </w:rPr>
        <w:footnoteReference w:id="9"/>
      </w:r>
      <w:r w:rsidR="003366F4">
        <w:rPr>
          <w:rFonts w:ascii="Times New Roman" w:hAnsi="Times New Roman" w:cs="Times New Roman"/>
          <w:sz w:val="24"/>
          <w:szCs w:val="24"/>
        </w:rPr>
        <w:t>,</w:t>
      </w:r>
      <w:r w:rsidRPr="00EB1504">
        <w:rPr>
          <w:rFonts w:ascii="Times New Roman" w:hAnsi="Times New Roman" w:cs="Times New Roman"/>
          <w:sz w:val="24"/>
          <w:szCs w:val="24"/>
        </w:rPr>
        <w:t xml:space="preserve"> je nesprávny. Toto ustanovenie, ktoré sa vzťahuje na policajnú spoluprácu medzi príslušnými orgánmi v oblasti predchádzania „trestným činom“ alebo ich odhaľovania a vyšetrovania, možno použiť ako právny základ iba pri opatreniach, ktoré sa osobitne týkajú predchádzania „trestným činom“ alebo ich odhaľovania. Zo samotnej trestnej povahy pojmu „delikt“ alebo z represívneho cieľa, ktorý sleduje, preto nemožno vyvodiť, že tento pojem je automaticky zhodný s pojmom „trestný čin“ v zm</w:t>
      </w:r>
      <w:r w:rsidR="00CD4C9A">
        <w:rPr>
          <w:rFonts w:ascii="Times New Roman" w:hAnsi="Times New Roman" w:cs="Times New Roman"/>
          <w:sz w:val="24"/>
          <w:szCs w:val="24"/>
        </w:rPr>
        <w:t>ysle článku 87 ZFEÚ. Vzhľadom k </w:t>
      </w:r>
      <w:r w:rsidRPr="00EB1504">
        <w:rPr>
          <w:rFonts w:ascii="Times New Roman" w:hAnsi="Times New Roman" w:cs="Times New Roman"/>
          <w:sz w:val="24"/>
          <w:szCs w:val="24"/>
        </w:rPr>
        <w:t>uvedenému Európska komisia</w:t>
      </w:r>
      <w:r w:rsidR="003366F4">
        <w:rPr>
          <w:rFonts w:ascii="Times New Roman" w:hAnsi="Times New Roman" w:cs="Times New Roman"/>
          <w:sz w:val="24"/>
          <w:szCs w:val="24"/>
        </w:rPr>
        <w:t xml:space="preserve"> navrhla</w:t>
      </w:r>
      <w:r w:rsidRPr="00EB1504">
        <w:rPr>
          <w:rFonts w:ascii="Times New Roman" w:hAnsi="Times New Roman" w:cs="Times New Roman"/>
          <w:sz w:val="24"/>
          <w:szCs w:val="24"/>
        </w:rPr>
        <w:t>, aby sa cieľ a obsah Smernice 2011/82/EÚ zaradili pod oblasť politiky dopravy a osobitne článku 91 ZFEÚ, ktorý mal byť preto použitý ako právny základ tejto Smernice.</w:t>
      </w:r>
    </w:p>
    <w:p w14:paraId="65003422" w14:textId="77777777" w:rsidR="00EB1504" w:rsidRPr="00EB1504" w:rsidRDefault="00EB1504" w:rsidP="00EB1504">
      <w:pPr>
        <w:spacing w:after="0" w:line="240" w:lineRule="auto"/>
        <w:ind w:firstLine="708"/>
        <w:jc w:val="both"/>
        <w:rPr>
          <w:rFonts w:ascii="Times New Roman" w:hAnsi="Times New Roman" w:cs="Times New Roman"/>
          <w:sz w:val="24"/>
          <w:szCs w:val="24"/>
        </w:rPr>
      </w:pPr>
      <w:r w:rsidRPr="00EB1504">
        <w:rPr>
          <w:rFonts w:ascii="Times New Roman" w:hAnsi="Times New Roman" w:cs="Times New Roman"/>
          <w:sz w:val="24"/>
          <w:szCs w:val="24"/>
        </w:rPr>
        <w:t xml:space="preserve">Napokon Súdny dvor vo svojom rozsudku vo veci SC-43/12 dňa 6. mája 2014 rozhodol: </w:t>
      </w:r>
    </w:p>
    <w:p w14:paraId="53DCF43C" w14:textId="21CA7B7E" w:rsidR="00EB1504" w:rsidRPr="00EB1504" w:rsidRDefault="00EB1504" w:rsidP="00EB1504">
      <w:pPr>
        <w:pStyle w:val="Odsekzoznamu"/>
        <w:numPr>
          <w:ilvl w:val="0"/>
          <w:numId w:val="5"/>
        </w:numPr>
        <w:spacing w:after="0" w:line="240" w:lineRule="auto"/>
        <w:jc w:val="both"/>
        <w:rPr>
          <w:rFonts w:ascii="Times New Roman" w:hAnsi="Times New Roman" w:cs="Times New Roman"/>
          <w:sz w:val="24"/>
          <w:szCs w:val="24"/>
        </w:rPr>
      </w:pPr>
      <w:r w:rsidRPr="00EB1504">
        <w:rPr>
          <w:rFonts w:ascii="Times New Roman" w:hAnsi="Times New Roman" w:cs="Times New Roman"/>
          <w:sz w:val="24"/>
          <w:szCs w:val="24"/>
        </w:rPr>
        <w:lastRenderedPageBreak/>
        <w:t>Smernica Európskeho parlamentu a Rady 2011/82/EÚ z 25. októbra 2011, ktorou sa zjednodušuje cezhraničná výmena informácií o deliktoch na úseku bezpečnosti cestnej premávky, sa zrušuje.</w:t>
      </w:r>
    </w:p>
    <w:p w14:paraId="5E92939D" w14:textId="165FF2EC" w:rsidR="00EB1504" w:rsidRPr="00EB1504" w:rsidRDefault="00EB1504" w:rsidP="00EB1504">
      <w:pPr>
        <w:pStyle w:val="Odsekzoznamu"/>
        <w:numPr>
          <w:ilvl w:val="0"/>
          <w:numId w:val="5"/>
        </w:numPr>
        <w:spacing w:after="0" w:line="240" w:lineRule="auto"/>
        <w:jc w:val="both"/>
        <w:rPr>
          <w:rFonts w:ascii="Times New Roman" w:hAnsi="Times New Roman" w:cs="Times New Roman"/>
          <w:sz w:val="24"/>
          <w:szCs w:val="24"/>
        </w:rPr>
      </w:pPr>
      <w:r w:rsidRPr="00EB1504">
        <w:rPr>
          <w:rFonts w:ascii="Times New Roman" w:hAnsi="Times New Roman" w:cs="Times New Roman"/>
          <w:sz w:val="24"/>
          <w:szCs w:val="24"/>
        </w:rPr>
        <w:t>Účinky smernice sú zachované, až kým v primeranej lehote, ktorá nesmie presiahnuť dvanásť mesiacov odo dňa vyhlásenia tohto rozsudku, nenadobudne účinnosť nová smernica založená na vhodnom právnom základe, teda na článku 91 ods. 1 písm. c) ZFEÚ.</w:t>
      </w:r>
    </w:p>
    <w:p w14:paraId="3835C481" w14:textId="0F71E4F5" w:rsidR="00EB1504" w:rsidRPr="00EB1504" w:rsidRDefault="00EB1504" w:rsidP="00EB1504">
      <w:pPr>
        <w:pStyle w:val="Odsekzoznamu"/>
        <w:numPr>
          <w:ilvl w:val="0"/>
          <w:numId w:val="5"/>
        </w:numPr>
        <w:spacing w:after="0" w:line="240" w:lineRule="auto"/>
        <w:jc w:val="both"/>
        <w:rPr>
          <w:rFonts w:ascii="Times New Roman" w:hAnsi="Times New Roman" w:cs="Times New Roman"/>
          <w:sz w:val="24"/>
          <w:szCs w:val="24"/>
        </w:rPr>
      </w:pPr>
      <w:r w:rsidRPr="00EB1504">
        <w:rPr>
          <w:rFonts w:ascii="Times New Roman" w:hAnsi="Times New Roman" w:cs="Times New Roman"/>
          <w:sz w:val="24"/>
          <w:szCs w:val="24"/>
        </w:rPr>
        <w:t>Európsky parlament a Rada Európskej únie sú povinné nahradiť trovy konania.</w:t>
      </w:r>
    </w:p>
    <w:p w14:paraId="01C053DF" w14:textId="2A2C541A" w:rsidR="00EB1504" w:rsidRDefault="00EB1504" w:rsidP="00EB1504">
      <w:pPr>
        <w:pStyle w:val="Odsekzoznamu"/>
        <w:numPr>
          <w:ilvl w:val="0"/>
          <w:numId w:val="5"/>
        </w:numPr>
        <w:spacing w:after="0" w:line="240" w:lineRule="auto"/>
        <w:jc w:val="both"/>
        <w:rPr>
          <w:rFonts w:ascii="Times New Roman" w:hAnsi="Times New Roman" w:cs="Times New Roman"/>
          <w:sz w:val="24"/>
          <w:szCs w:val="24"/>
        </w:rPr>
      </w:pPr>
      <w:r w:rsidRPr="00EB1504">
        <w:rPr>
          <w:rFonts w:ascii="Times New Roman" w:hAnsi="Times New Roman" w:cs="Times New Roman"/>
          <w:sz w:val="24"/>
          <w:szCs w:val="24"/>
        </w:rPr>
        <w:t>Belgické kráľovstvo, Írsko, Maďarsko, Poľská republika, Slovenská republika, Švédske kráľovstvo, ako aj Spojené kráľovstvo Veľkej Británie a Severného Írska znášajú vlastné trovy konania.</w:t>
      </w:r>
      <w:r w:rsidR="00522D60">
        <w:rPr>
          <w:rStyle w:val="Odkaznapoznmkupodiarou"/>
          <w:rFonts w:ascii="Times New Roman" w:hAnsi="Times New Roman" w:cs="Times New Roman"/>
          <w:sz w:val="24"/>
          <w:szCs w:val="24"/>
        </w:rPr>
        <w:footnoteReference w:id="10"/>
      </w:r>
    </w:p>
    <w:p w14:paraId="60C51772" w14:textId="77777777" w:rsidR="00C77187" w:rsidRPr="00EB1504" w:rsidRDefault="00C77187" w:rsidP="00C77187">
      <w:pPr>
        <w:pStyle w:val="Odsekzoznamu"/>
        <w:spacing w:after="0" w:line="240" w:lineRule="auto"/>
        <w:ind w:left="1068"/>
        <w:jc w:val="both"/>
        <w:rPr>
          <w:rFonts w:ascii="Times New Roman" w:hAnsi="Times New Roman" w:cs="Times New Roman"/>
          <w:sz w:val="24"/>
          <w:szCs w:val="24"/>
        </w:rPr>
      </w:pPr>
    </w:p>
    <w:p w14:paraId="130C0E78" w14:textId="3C5617F5" w:rsidR="003B4779" w:rsidRPr="00C77187" w:rsidRDefault="00EB1504" w:rsidP="00C77187">
      <w:pPr>
        <w:spacing w:after="0" w:line="240" w:lineRule="auto"/>
        <w:ind w:firstLine="708"/>
        <w:jc w:val="both"/>
        <w:rPr>
          <w:rFonts w:ascii="Times New Roman" w:hAnsi="Times New Roman" w:cs="Times New Roman"/>
          <w:sz w:val="24"/>
          <w:szCs w:val="24"/>
        </w:rPr>
      </w:pPr>
      <w:r w:rsidRPr="00EB1504">
        <w:rPr>
          <w:rFonts w:ascii="Times New Roman" w:hAnsi="Times New Roman" w:cs="Times New Roman"/>
          <w:sz w:val="24"/>
          <w:szCs w:val="24"/>
        </w:rPr>
        <w:t xml:space="preserve">V súvislosti s uvedeným je treba uviesť, že Smernica 2011/82/EÚ </w:t>
      </w:r>
      <w:r w:rsidR="00E14B3D">
        <w:rPr>
          <w:rFonts w:ascii="Times New Roman" w:hAnsi="Times New Roman" w:cs="Times New Roman"/>
          <w:sz w:val="24"/>
          <w:szCs w:val="24"/>
        </w:rPr>
        <w:t>bola platná aj v </w:t>
      </w:r>
      <w:r w:rsidRPr="00EB1504">
        <w:rPr>
          <w:rFonts w:ascii="Times New Roman" w:hAnsi="Times New Roman" w:cs="Times New Roman"/>
          <w:sz w:val="24"/>
          <w:szCs w:val="24"/>
        </w:rPr>
        <w:t>období, keď sa rozhodovalo o správnosti jej právneho základu, čo trvalo približne rok od jej účinnosti. Jedným z významných prínosov r</w:t>
      </w:r>
      <w:r w:rsidR="0004553A">
        <w:rPr>
          <w:rFonts w:ascii="Times New Roman" w:hAnsi="Times New Roman" w:cs="Times New Roman"/>
          <w:sz w:val="24"/>
          <w:szCs w:val="24"/>
        </w:rPr>
        <w:t>iešenia zmeny právneho základu smernice</w:t>
      </w:r>
      <w:r w:rsidRPr="00EB1504">
        <w:rPr>
          <w:rFonts w:ascii="Times New Roman" w:hAnsi="Times New Roman" w:cs="Times New Roman"/>
          <w:sz w:val="24"/>
          <w:szCs w:val="24"/>
        </w:rPr>
        <w:t xml:space="preserve"> bolo rozšírenie počtu členských štátov, ktoré pri právnom základe založenom na článku 87 ZFEÚ ods. 2 mohli na policajnú spoluprácu uplatňovať derogačný režim (Spojené kráľovstvo a Írsko možnosť „</w:t>
      </w:r>
      <w:proofErr w:type="spellStart"/>
      <w:r w:rsidRPr="00EB1504">
        <w:rPr>
          <w:rFonts w:ascii="Times New Roman" w:hAnsi="Times New Roman" w:cs="Times New Roman"/>
          <w:sz w:val="24"/>
          <w:szCs w:val="24"/>
        </w:rPr>
        <w:t>opt</w:t>
      </w:r>
      <w:proofErr w:type="spellEnd"/>
      <w:r w:rsidRPr="00EB1504">
        <w:rPr>
          <w:rFonts w:ascii="Times New Roman" w:hAnsi="Times New Roman" w:cs="Times New Roman"/>
          <w:sz w:val="24"/>
          <w:szCs w:val="24"/>
        </w:rPr>
        <w:t>-in“ v zmysle protokolu 21 ZFEÚ a Dánsko možnosť „</w:t>
      </w:r>
      <w:proofErr w:type="spellStart"/>
      <w:r w:rsidRPr="00EB1504">
        <w:rPr>
          <w:rFonts w:ascii="Times New Roman" w:hAnsi="Times New Roman" w:cs="Times New Roman"/>
          <w:sz w:val="24"/>
          <w:szCs w:val="24"/>
        </w:rPr>
        <w:t>opt-out</w:t>
      </w:r>
      <w:proofErr w:type="spellEnd"/>
      <w:r w:rsidRPr="00EB1504">
        <w:rPr>
          <w:rFonts w:ascii="Times New Roman" w:hAnsi="Times New Roman" w:cs="Times New Roman"/>
          <w:sz w:val="24"/>
          <w:szCs w:val="24"/>
        </w:rPr>
        <w:t>“ v zmysle protokolu 22 ZFEÚ), z čoho vyplývalo, že na tri členské</w:t>
      </w:r>
      <w:r w:rsidR="0004553A">
        <w:rPr>
          <w:rFonts w:ascii="Times New Roman" w:hAnsi="Times New Roman" w:cs="Times New Roman"/>
          <w:sz w:val="24"/>
          <w:szCs w:val="24"/>
        </w:rPr>
        <w:t xml:space="preserve"> štáty sa pôvodná</w:t>
      </w:r>
      <w:r w:rsidRPr="00EB1504">
        <w:rPr>
          <w:rFonts w:ascii="Times New Roman" w:hAnsi="Times New Roman" w:cs="Times New Roman"/>
          <w:sz w:val="24"/>
          <w:szCs w:val="24"/>
        </w:rPr>
        <w:t xml:space="preserve"> smernica neuplatňovala.</w:t>
      </w:r>
    </w:p>
    <w:p w14:paraId="2BCC86D1" w14:textId="77777777" w:rsidR="00C77187" w:rsidRPr="00611D48" w:rsidRDefault="00C77187" w:rsidP="00C77187">
      <w:pPr>
        <w:spacing w:before="120" w:after="120" w:line="240" w:lineRule="auto"/>
        <w:ind w:firstLine="576"/>
        <w:jc w:val="both"/>
        <w:rPr>
          <w:rFonts w:ascii="Times New Roman" w:eastAsia="Times New Roman" w:hAnsi="Times New Roman" w:cs="Times New Roman"/>
          <w:sz w:val="24"/>
          <w:szCs w:val="24"/>
          <w:lang w:eastAsia="cs-CZ"/>
        </w:rPr>
      </w:pPr>
      <w:r w:rsidRPr="00611D48">
        <w:rPr>
          <w:rFonts w:ascii="Times New Roman" w:eastAsia="Times New Roman" w:hAnsi="Times New Roman" w:cs="Times New Roman"/>
          <w:sz w:val="24"/>
          <w:szCs w:val="24"/>
          <w:lang w:eastAsia="cs-CZ"/>
        </w:rPr>
        <w:t xml:space="preserve">Novou Smernicou </w:t>
      </w:r>
      <w:r>
        <w:rPr>
          <w:rFonts w:ascii="Times New Roman" w:eastAsia="Times New Roman" w:hAnsi="Times New Roman" w:cs="Times New Roman"/>
          <w:sz w:val="24"/>
          <w:szCs w:val="24"/>
          <w:lang w:eastAsia="cs-CZ"/>
        </w:rPr>
        <w:t xml:space="preserve">CBE z roku 2015 </w:t>
      </w:r>
      <w:r w:rsidRPr="00611D48">
        <w:rPr>
          <w:rFonts w:ascii="Times New Roman" w:eastAsia="Times New Roman" w:hAnsi="Times New Roman" w:cs="Times New Roman"/>
          <w:sz w:val="24"/>
          <w:szCs w:val="24"/>
          <w:lang w:eastAsia="cs-CZ"/>
        </w:rPr>
        <w:t xml:space="preserve">mali členské štáty nahradiť Smernicu 2011/82/EÚ do mája 2015 podľa upraveného právneho základu bez akýchkoľvek zmien </w:t>
      </w:r>
      <w:r>
        <w:rPr>
          <w:rFonts w:ascii="Times New Roman" w:eastAsia="Times New Roman" w:hAnsi="Times New Roman" w:cs="Times New Roman"/>
          <w:sz w:val="24"/>
          <w:szCs w:val="24"/>
          <w:lang w:eastAsia="cs-CZ"/>
        </w:rPr>
        <w:t xml:space="preserve">v uplatňovaní </w:t>
      </w:r>
      <w:r w:rsidRPr="00611D48">
        <w:rPr>
          <w:rFonts w:ascii="Times New Roman" w:eastAsia="Times New Roman" w:hAnsi="Times New Roman" w:cs="Times New Roman"/>
          <w:sz w:val="24"/>
          <w:szCs w:val="24"/>
          <w:lang w:eastAsia="cs-CZ"/>
        </w:rPr>
        <w:t xml:space="preserve">zrušenej smernice. </w:t>
      </w:r>
    </w:p>
    <w:p w14:paraId="5D104EFC" w14:textId="0745FE77" w:rsidR="00EB1504" w:rsidRDefault="00EB1504" w:rsidP="000D5519">
      <w:pPr>
        <w:spacing w:after="0" w:line="240" w:lineRule="auto"/>
        <w:jc w:val="both"/>
        <w:rPr>
          <w:rFonts w:ascii="Times New Roman" w:hAnsi="Times New Roman" w:cs="Times New Roman"/>
          <w:b/>
          <w:sz w:val="24"/>
          <w:szCs w:val="24"/>
        </w:rPr>
      </w:pPr>
    </w:p>
    <w:p w14:paraId="51ECF80F" w14:textId="7A6E79C6" w:rsidR="00EB1504" w:rsidRDefault="006125A4" w:rsidP="00C771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Automatizovanie výmeny informácií prostredníctvom IS EUCARIS</w:t>
      </w:r>
    </w:p>
    <w:p w14:paraId="7E66CFA8" w14:textId="6C17DF3B" w:rsidR="0004553A" w:rsidRDefault="00C77187" w:rsidP="00E33A69">
      <w:pPr>
        <w:spacing w:after="0" w:line="240" w:lineRule="auto"/>
        <w:ind w:firstLine="708"/>
        <w:jc w:val="both"/>
        <w:rPr>
          <w:rFonts w:ascii="Times New Roman" w:eastAsia="Times New Roman" w:hAnsi="Times New Roman" w:cs="Times New Roman"/>
          <w:sz w:val="24"/>
          <w:szCs w:val="24"/>
          <w:lang w:eastAsia="cs-CZ"/>
        </w:rPr>
      </w:pPr>
      <w:r w:rsidRPr="00CD4C9A">
        <w:rPr>
          <w:rFonts w:ascii="Times New Roman" w:eastAsia="Times New Roman" w:hAnsi="Times New Roman" w:cs="Times New Roman"/>
          <w:b/>
          <w:sz w:val="24"/>
          <w:szCs w:val="24"/>
          <w:lang w:eastAsia="cs-CZ"/>
        </w:rPr>
        <w:t xml:space="preserve">Za hlavný </w:t>
      </w:r>
      <w:r w:rsidR="00E33A69" w:rsidRPr="00CD4C9A">
        <w:rPr>
          <w:rFonts w:ascii="Times New Roman" w:eastAsia="Times New Roman" w:hAnsi="Times New Roman" w:cs="Times New Roman"/>
          <w:b/>
          <w:sz w:val="24"/>
          <w:szCs w:val="24"/>
          <w:lang w:eastAsia="cs-CZ"/>
        </w:rPr>
        <w:t xml:space="preserve">a prelomový </w:t>
      </w:r>
      <w:r w:rsidRPr="00CD4C9A">
        <w:rPr>
          <w:rFonts w:ascii="Times New Roman" w:eastAsia="Times New Roman" w:hAnsi="Times New Roman" w:cs="Times New Roman"/>
          <w:b/>
          <w:sz w:val="24"/>
          <w:szCs w:val="24"/>
          <w:lang w:eastAsia="cs-CZ"/>
        </w:rPr>
        <w:t>prín</w:t>
      </w:r>
      <w:r w:rsidR="00E33A69" w:rsidRPr="00CD4C9A">
        <w:rPr>
          <w:rFonts w:ascii="Times New Roman" w:eastAsia="Times New Roman" w:hAnsi="Times New Roman" w:cs="Times New Roman"/>
          <w:b/>
          <w:sz w:val="24"/>
          <w:szCs w:val="24"/>
          <w:lang w:eastAsia="cs-CZ"/>
        </w:rPr>
        <w:t>os Smernice CBE v rámci medzištátnej výmeny informácií je považovaná „</w:t>
      </w:r>
      <w:r w:rsidRPr="00CD4C9A">
        <w:rPr>
          <w:rFonts w:ascii="Times New Roman" w:eastAsia="Times New Roman" w:hAnsi="Times New Roman" w:cs="Times New Roman"/>
          <w:b/>
          <w:sz w:val="24"/>
          <w:szCs w:val="24"/>
          <w:lang w:eastAsia="cs-CZ"/>
        </w:rPr>
        <w:t>a</w:t>
      </w:r>
      <w:r w:rsidR="00E33A69" w:rsidRPr="00CD4C9A">
        <w:rPr>
          <w:rFonts w:ascii="Times New Roman" w:eastAsia="Times New Roman" w:hAnsi="Times New Roman" w:cs="Times New Roman"/>
          <w:b/>
          <w:sz w:val="24"/>
          <w:szCs w:val="24"/>
          <w:lang w:eastAsia="cs-CZ"/>
        </w:rPr>
        <w:t>utomatizácia spôsobu</w:t>
      </w:r>
      <w:r w:rsidR="0004553A" w:rsidRPr="00CD4C9A">
        <w:rPr>
          <w:rFonts w:ascii="Times New Roman" w:eastAsia="Times New Roman" w:hAnsi="Times New Roman" w:cs="Times New Roman"/>
          <w:b/>
          <w:sz w:val="24"/>
          <w:szCs w:val="24"/>
          <w:lang w:eastAsia="cs-CZ"/>
        </w:rPr>
        <w:t>“</w:t>
      </w:r>
      <w:r w:rsidRPr="00CD4C9A">
        <w:rPr>
          <w:rFonts w:ascii="Times New Roman" w:eastAsia="Times New Roman" w:hAnsi="Times New Roman" w:cs="Times New Roman"/>
          <w:b/>
          <w:sz w:val="24"/>
          <w:szCs w:val="24"/>
          <w:lang w:eastAsia="cs-CZ"/>
        </w:rPr>
        <w:t xml:space="preserve"> vyhľa</w:t>
      </w:r>
      <w:r w:rsidR="00E33A69" w:rsidRPr="00CD4C9A">
        <w:rPr>
          <w:rFonts w:ascii="Times New Roman" w:eastAsia="Times New Roman" w:hAnsi="Times New Roman" w:cs="Times New Roman"/>
          <w:b/>
          <w:sz w:val="24"/>
          <w:szCs w:val="24"/>
          <w:lang w:eastAsia="cs-CZ"/>
        </w:rPr>
        <w:t>dávania informácií, ktorá je upravená článkom 4 Smernice CBE</w:t>
      </w:r>
      <w:r w:rsidR="00CD4C9A">
        <w:rPr>
          <w:rFonts w:ascii="Times New Roman" w:eastAsia="Times New Roman" w:hAnsi="Times New Roman" w:cs="Times New Roman"/>
          <w:sz w:val="24"/>
          <w:szCs w:val="24"/>
          <w:lang w:eastAsia="cs-CZ"/>
        </w:rPr>
        <w:t xml:space="preserve">. Článok 4 </w:t>
      </w:r>
      <w:r w:rsidR="00E33A69" w:rsidRPr="00E33A69">
        <w:rPr>
          <w:rFonts w:ascii="Times New Roman" w:eastAsia="Times New Roman" w:hAnsi="Times New Roman" w:cs="Times New Roman"/>
          <w:sz w:val="24"/>
          <w:szCs w:val="24"/>
          <w:lang w:eastAsia="cs-CZ"/>
        </w:rPr>
        <w:t>poskytuje orgánom členských štátov možnosť prístupu do zahraničných registrov vozidiel prostredníctvom elektronického informačné</w:t>
      </w:r>
      <w:r w:rsidR="00E33A69">
        <w:rPr>
          <w:rFonts w:ascii="Times New Roman" w:eastAsia="Times New Roman" w:hAnsi="Times New Roman" w:cs="Times New Roman"/>
          <w:sz w:val="24"/>
          <w:szCs w:val="24"/>
          <w:lang w:eastAsia="cs-CZ"/>
        </w:rPr>
        <w:t>ho systému</w:t>
      </w:r>
      <w:r w:rsidR="00E33A69" w:rsidRPr="00E33A69">
        <w:rPr>
          <w:rFonts w:ascii="Times New Roman" w:eastAsia="Times New Roman" w:hAnsi="Times New Roman" w:cs="Times New Roman"/>
          <w:sz w:val="24"/>
          <w:szCs w:val="24"/>
          <w:lang w:eastAsia="cs-CZ"/>
        </w:rPr>
        <w:t xml:space="preserve">, ktorý umožňuje identifikáciu možného páchateľa dopravného priestupku, ktorý nemá v danom štáte bydlisko, v prípadoch, keď nebolo možné zastaviť vozidlo a/alebo nebolo možné identifikovať vodiča. </w:t>
      </w:r>
    </w:p>
    <w:p w14:paraId="3BD853D1" w14:textId="5D7A5F07" w:rsidR="00E33A69" w:rsidRDefault="00E33A69" w:rsidP="00E33A69">
      <w:pPr>
        <w:spacing w:after="0" w:line="240" w:lineRule="auto"/>
        <w:ind w:firstLine="708"/>
        <w:jc w:val="both"/>
        <w:rPr>
          <w:rFonts w:ascii="Times New Roman" w:hAnsi="Times New Roman" w:cs="Times New Roman"/>
          <w:sz w:val="24"/>
          <w:szCs w:val="24"/>
        </w:rPr>
      </w:pPr>
      <w:r w:rsidRPr="00E33A69">
        <w:rPr>
          <w:rFonts w:ascii="Times New Roman" w:eastAsia="Times New Roman" w:hAnsi="Times New Roman" w:cs="Times New Roman"/>
          <w:sz w:val="24"/>
          <w:szCs w:val="24"/>
          <w:lang w:eastAsia="cs-CZ"/>
        </w:rPr>
        <w:t xml:space="preserve">Po zistení totožnosti osoby podozrivej zo spáchania dopravného priestupku v oblasti bezpečnosti cestnej premávky (napríklad prekročenie rýchlosti alebo nepoužívanie bezpečnostných pásov) rozhodne členský štát, v ktorom k priestupku došlo, o začatí konania. Smernica </w:t>
      </w:r>
      <w:r>
        <w:rPr>
          <w:rFonts w:ascii="Times New Roman" w:eastAsia="Times New Roman" w:hAnsi="Times New Roman" w:cs="Times New Roman"/>
          <w:sz w:val="24"/>
          <w:szCs w:val="24"/>
          <w:lang w:eastAsia="cs-CZ"/>
        </w:rPr>
        <w:t xml:space="preserve">CBE </w:t>
      </w:r>
      <w:r w:rsidRPr="00E33A69">
        <w:rPr>
          <w:rFonts w:ascii="Times New Roman" w:eastAsia="Times New Roman" w:hAnsi="Times New Roman" w:cs="Times New Roman"/>
          <w:sz w:val="24"/>
          <w:szCs w:val="24"/>
          <w:lang w:eastAsia="cs-CZ"/>
        </w:rPr>
        <w:t>špecifikuje spôsob, akým by sa mal pri</w:t>
      </w:r>
      <w:r w:rsidR="0004553A">
        <w:rPr>
          <w:rFonts w:ascii="Times New Roman" w:eastAsia="Times New Roman" w:hAnsi="Times New Roman" w:cs="Times New Roman"/>
          <w:sz w:val="24"/>
          <w:szCs w:val="24"/>
          <w:lang w:eastAsia="cs-CZ"/>
        </w:rPr>
        <w:t>estupok oznámiť dotknutej osobe</w:t>
      </w:r>
      <w:r w:rsidRPr="00E33A69">
        <w:rPr>
          <w:rFonts w:ascii="Times New Roman" w:eastAsia="Times New Roman" w:hAnsi="Times New Roman" w:cs="Times New Roman"/>
          <w:sz w:val="24"/>
          <w:szCs w:val="24"/>
          <w:lang w:eastAsia="cs-CZ"/>
        </w:rPr>
        <w:t xml:space="preserve"> a poskytuje (nepovinný) vzor listu, ktorý sa má </w:t>
      </w:r>
      <w:r w:rsidR="0004553A">
        <w:rPr>
          <w:rFonts w:ascii="Times New Roman" w:eastAsia="Times New Roman" w:hAnsi="Times New Roman" w:cs="Times New Roman"/>
          <w:sz w:val="24"/>
          <w:szCs w:val="24"/>
          <w:lang w:eastAsia="cs-CZ"/>
        </w:rPr>
        <w:t xml:space="preserve">dotknutej osobe </w:t>
      </w:r>
      <w:r w:rsidRPr="00E33A69">
        <w:rPr>
          <w:rFonts w:ascii="Times New Roman" w:eastAsia="Times New Roman" w:hAnsi="Times New Roman" w:cs="Times New Roman"/>
          <w:sz w:val="24"/>
          <w:szCs w:val="24"/>
          <w:lang w:eastAsia="cs-CZ"/>
        </w:rPr>
        <w:t>zaslať.</w:t>
      </w:r>
      <w:r w:rsidRPr="00E33A69">
        <w:rPr>
          <w:rFonts w:ascii="Times New Roman" w:hAnsi="Times New Roman" w:cs="Times New Roman"/>
          <w:sz w:val="24"/>
          <w:szCs w:val="24"/>
        </w:rPr>
        <w:t xml:space="preserve"> </w:t>
      </w:r>
      <w:r w:rsidRPr="002D2D63">
        <w:rPr>
          <w:rFonts w:ascii="Times New Roman" w:hAnsi="Times New Roman" w:cs="Times New Roman"/>
          <w:sz w:val="24"/>
          <w:szCs w:val="24"/>
        </w:rPr>
        <w:t>Tento list by mal byť napísaný v rovnakom jazyku ako doklad o zápise vozidl</w:t>
      </w:r>
      <w:r w:rsidR="0004553A">
        <w:rPr>
          <w:rFonts w:ascii="Times New Roman" w:hAnsi="Times New Roman" w:cs="Times New Roman"/>
          <w:sz w:val="24"/>
          <w:szCs w:val="24"/>
        </w:rPr>
        <w:t>a do evidencie alebo v jednom z </w:t>
      </w:r>
      <w:r w:rsidRPr="002D2D63">
        <w:rPr>
          <w:rFonts w:ascii="Times New Roman" w:hAnsi="Times New Roman" w:cs="Times New Roman"/>
          <w:sz w:val="24"/>
          <w:szCs w:val="24"/>
        </w:rPr>
        <w:t>úradných jazykov členského štátu, v ktorom je vozidlo registrované.</w:t>
      </w:r>
    </w:p>
    <w:p w14:paraId="2D9ACCDB" w14:textId="7FB4DFEF" w:rsidR="00F13F6D" w:rsidRPr="003A2D2B" w:rsidRDefault="00C77187" w:rsidP="003A2D2B">
      <w:pPr>
        <w:spacing w:before="120" w:after="120" w:line="240" w:lineRule="auto"/>
        <w:ind w:firstLine="57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Automatizované vyhľadávanie</w:t>
      </w:r>
      <w:r w:rsidRPr="00611D48">
        <w:rPr>
          <w:rFonts w:ascii="Times New Roman" w:eastAsia="Times New Roman" w:hAnsi="Times New Roman" w:cs="Times New Roman"/>
          <w:sz w:val="24"/>
          <w:szCs w:val="24"/>
          <w:lang w:eastAsia="cs-CZ"/>
        </w:rPr>
        <w:t xml:space="preserve"> transformovalo </w:t>
      </w:r>
      <w:r w:rsidR="00E33A69">
        <w:rPr>
          <w:rFonts w:ascii="Times New Roman" w:eastAsia="Times New Roman" w:hAnsi="Times New Roman" w:cs="Times New Roman"/>
          <w:sz w:val="24"/>
          <w:szCs w:val="24"/>
          <w:lang w:eastAsia="cs-CZ"/>
        </w:rPr>
        <w:t>dovtedy papierové dožiadania na </w:t>
      </w:r>
      <w:r w:rsidRPr="00611D48">
        <w:rPr>
          <w:rFonts w:ascii="Times New Roman" w:eastAsia="Times New Roman" w:hAnsi="Times New Roman" w:cs="Times New Roman"/>
          <w:sz w:val="24"/>
          <w:szCs w:val="24"/>
          <w:lang w:eastAsia="cs-CZ"/>
        </w:rPr>
        <w:t xml:space="preserve">elektronickú výmenu informácií medzi národnými kontaktnými bodmi, ktoré si </w:t>
      </w:r>
      <w:r>
        <w:rPr>
          <w:rFonts w:ascii="Times New Roman" w:eastAsia="Times New Roman" w:hAnsi="Times New Roman" w:cs="Times New Roman"/>
          <w:sz w:val="24"/>
          <w:szCs w:val="24"/>
          <w:lang w:eastAsia="cs-CZ"/>
        </w:rPr>
        <w:t xml:space="preserve">konečne </w:t>
      </w:r>
      <w:r w:rsidRPr="00611D48">
        <w:rPr>
          <w:rFonts w:ascii="Times New Roman" w:eastAsia="Times New Roman" w:hAnsi="Times New Roman" w:cs="Times New Roman"/>
          <w:sz w:val="24"/>
          <w:szCs w:val="24"/>
          <w:lang w:eastAsia="cs-CZ"/>
        </w:rPr>
        <w:t xml:space="preserve">vzájomne sprístupnili údaje z vlastných vnútroštátnych registrov vozidiel. </w:t>
      </w:r>
      <w:r w:rsidR="0043631C">
        <w:rPr>
          <w:rFonts w:ascii="Times New Roman" w:hAnsi="Times New Roman" w:cs="Times New Roman"/>
          <w:sz w:val="24"/>
          <w:szCs w:val="24"/>
        </w:rPr>
        <w:t>Implementácia Smernice CBE</w:t>
      </w:r>
      <w:r w:rsidR="0043631C" w:rsidRPr="0043631C">
        <w:rPr>
          <w:rFonts w:ascii="Times New Roman" w:hAnsi="Times New Roman" w:cs="Times New Roman"/>
          <w:sz w:val="24"/>
          <w:szCs w:val="24"/>
        </w:rPr>
        <w:t xml:space="preserve"> bola založená pri otázkach automatizovanej výmeny informácií na využití už </w:t>
      </w:r>
      <w:r w:rsidR="0043631C" w:rsidRPr="0043631C">
        <w:rPr>
          <w:rFonts w:ascii="Times New Roman" w:hAnsi="Times New Roman" w:cs="Times New Roman"/>
          <w:sz w:val="24"/>
          <w:szCs w:val="24"/>
        </w:rPr>
        <w:lastRenderedPageBreak/>
        <w:t>existujúcej platformy výmeny údajov o vozidle a majiteľoch/držiteľoch vozidiel, tzv. Európskom informačnom systéme pre autá a vodičské pre</w:t>
      </w:r>
      <w:r w:rsidR="00E33A69">
        <w:rPr>
          <w:rFonts w:ascii="Times New Roman" w:hAnsi="Times New Roman" w:cs="Times New Roman"/>
          <w:sz w:val="24"/>
          <w:szCs w:val="24"/>
        </w:rPr>
        <w:t>ukazy (</w:t>
      </w:r>
      <w:r w:rsidR="00CD4C9A">
        <w:rPr>
          <w:rFonts w:ascii="Times New Roman" w:hAnsi="Times New Roman" w:cs="Times New Roman"/>
          <w:sz w:val="24"/>
          <w:szCs w:val="24"/>
        </w:rPr>
        <w:t xml:space="preserve">ďalej len „IS </w:t>
      </w:r>
      <w:r w:rsidR="00E33A69">
        <w:rPr>
          <w:rFonts w:ascii="Times New Roman" w:hAnsi="Times New Roman" w:cs="Times New Roman"/>
          <w:sz w:val="24"/>
          <w:szCs w:val="24"/>
        </w:rPr>
        <w:t>EUCARIS</w:t>
      </w:r>
      <w:r w:rsidR="00CD4C9A">
        <w:rPr>
          <w:rFonts w:ascii="Times New Roman" w:hAnsi="Times New Roman" w:cs="Times New Roman"/>
          <w:sz w:val="24"/>
          <w:szCs w:val="24"/>
        </w:rPr>
        <w:t>“</w:t>
      </w:r>
      <w:r w:rsidR="0043631C">
        <w:rPr>
          <w:rFonts w:ascii="Times New Roman" w:hAnsi="Times New Roman" w:cs="Times New Roman"/>
          <w:sz w:val="24"/>
          <w:szCs w:val="24"/>
        </w:rPr>
        <w:t>)</w:t>
      </w:r>
      <w:r w:rsidR="00CD4C9A">
        <w:rPr>
          <w:rFonts w:ascii="Times New Roman" w:hAnsi="Times New Roman" w:cs="Times New Roman"/>
          <w:sz w:val="24"/>
          <w:szCs w:val="24"/>
        </w:rPr>
        <w:t>.</w:t>
      </w:r>
      <w:r w:rsidR="0043631C">
        <w:rPr>
          <w:rStyle w:val="Odkaznapoznmkupodiarou"/>
          <w:rFonts w:ascii="Times New Roman" w:hAnsi="Times New Roman" w:cs="Times New Roman"/>
          <w:sz w:val="24"/>
          <w:szCs w:val="24"/>
        </w:rPr>
        <w:footnoteReference w:id="11"/>
      </w:r>
    </w:p>
    <w:p w14:paraId="4F4C6137" w14:textId="19F64765" w:rsidR="00F06827" w:rsidRDefault="006771E5" w:rsidP="00E33A6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Modul CBE </w:t>
      </w:r>
    </w:p>
    <w:p w14:paraId="09EB631E" w14:textId="712B6AD3" w:rsidR="00080369" w:rsidRDefault="00080369" w:rsidP="008C7D4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Slovensko</w:t>
      </w:r>
      <w:r w:rsidR="00F05C65">
        <w:rPr>
          <w:rFonts w:ascii="Times New Roman" w:hAnsi="Times New Roman" w:cs="Times New Roman"/>
          <w:sz w:val="24"/>
          <w:szCs w:val="24"/>
        </w:rPr>
        <w:t xml:space="preserve"> transponovalo</w:t>
      </w:r>
      <w:r w:rsidRPr="00080369">
        <w:rPr>
          <w:rFonts w:ascii="Times New Roman" w:hAnsi="Times New Roman" w:cs="Times New Roman"/>
          <w:sz w:val="24"/>
          <w:szCs w:val="24"/>
        </w:rPr>
        <w:t xml:space="preserve"> pôvodnú Smernicu 2011/82/EÚ novelou zákona č. 8/2009 Z. z. o cestnej premávke v znení neskorších predpisov</w:t>
      </w:r>
      <w:r w:rsidR="003366F4">
        <w:rPr>
          <w:rFonts w:ascii="Times New Roman" w:hAnsi="Times New Roman" w:cs="Times New Roman"/>
          <w:sz w:val="24"/>
          <w:szCs w:val="24"/>
        </w:rPr>
        <w:t>,</w:t>
      </w:r>
      <w:r w:rsidRPr="00080369">
        <w:rPr>
          <w:rFonts w:ascii="Times New Roman" w:hAnsi="Times New Roman" w:cs="Times New Roman"/>
          <w:sz w:val="24"/>
          <w:szCs w:val="24"/>
        </w:rPr>
        <w:t xml:space="preserve"> ako aj n</w:t>
      </w:r>
      <w:r>
        <w:rPr>
          <w:rFonts w:ascii="Times New Roman" w:hAnsi="Times New Roman" w:cs="Times New Roman"/>
          <w:sz w:val="24"/>
          <w:szCs w:val="24"/>
        </w:rPr>
        <w:t>ovelou zákona č. 372/1990 Zb. o </w:t>
      </w:r>
      <w:r w:rsidRPr="00080369">
        <w:rPr>
          <w:rFonts w:ascii="Times New Roman" w:hAnsi="Times New Roman" w:cs="Times New Roman"/>
          <w:sz w:val="24"/>
          <w:szCs w:val="24"/>
        </w:rPr>
        <w:t xml:space="preserve">priestupkoch v znení neskorších predpisov. V </w:t>
      </w:r>
      <w:r>
        <w:rPr>
          <w:rFonts w:ascii="Times New Roman" w:hAnsi="Times New Roman" w:cs="Times New Roman"/>
          <w:sz w:val="24"/>
          <w:szCs w:val="24"/>
        </w:rPr>
        <w:t>podmienkach Slovenska bol IS</w:t>
      </w:r>
      <w:r w:rsidRPr="00080369">
        <w:rPr>
          <w:rFonts w:ascii="Times New Roman" w:hAnsi="Times New Roman" w:cs="Times New Roman"/>
          <w:sz w:val="24"/>
          <w:szCs w:val="24"/>
        </w:rPr>
        <w:t xml:space="preserve"> EUCARIS funkčný v čase implementácie smernice v dvoch moduloch - modul EUCARIS (vozidlá a vodičské preukazy) od 25.</w:t>
      </w:r>
      <w:r>
        <w:rPr>
          <w:rFonts w:ascii="Times New Roman" w:hAnsi="Times New Roman" w:cs="Times New Roman"/>
          <w:sz w:val="24"/>
          <w:szCs w:val="24"/>
        </w:rPr>
        <w:t xml:space="preserve"> </w:t>
      </w:r>
      <w:r w:rsidRPr="00080369">
        <w:rPr>
          <w:rFonts w:ascii="Times New Roman" w:hAnsi="Times New Roman" w:cs="Times New Roman"/>
          <w:sz w:val="24"/>
          <w:szCs w:val="24"/>
        </w:rPr>
        <w:t>9.</w:t>
      </w:r>
      <w:r>
        <w:rPr>
          <w:rFonts w:ascii="Times New Roman" w:hAnsi="Times New Roman" w:cs="Times New Roman"/>
          <w:sz w:val="24"/>
          <w:szCs w:val="24"/>
        </w:rPr>
        <w:t xml:space="preserve"> </w:t>
      </w:r>
      <w:r w:rsidRPr="00080369">
        <w:rPr>
          <w:rFonts w:ascii="Times New Roman" w:hAnsi="Times New Roman" w:cs="Times New Roman"/>
          <w:sz w:val="24"/>
          <w:szCs w:val="24"/>
        </w:rPr>
        <w:t xml:space="preserve">2013 a v module </w:t>
      </w:r>
      <w:proofErr w:type="spellStart"/>
      <w:r w:rsidRPr="00080369">
        <w:rPr>
          <w:rFonts w:ascii="Times New Roman" w:hAnsi="Times New Roman" w:cs="Times New Roman"/>
          <w:sz w:val="24"/>
          <w:szCs w:val="24"/>
        </w:rPr>
        <w:t>Prüm</w:t>
      </w:r>
      <w:proofErr w:type="spellEnd"/>
      <w:r w:rsidR="00CD4C9A">
        <w:rPr>
          <w:rFonts w:ascii="Times New Roman" w:hAnsi="Times New Roman" w:cs="Times New Roman"/>
          <w:sz w:val="24"/>
          <w:szCs w:val="24"/>
        </w:rPr>
        <w:t xml:space="preserve"> (pre </w:t>
      </w:r>
      <w:proofErr w:type="spellStart"/>
      <w:r w:rsidR="00CD4C9A">
        <w:rPr>
          <w:rFonts w:ascii="Times New Roman" w:hAnsi="Times New Roman" w:cs="Times New Roman"/>
          <w:sz w:val="24"/>
          <w:szCs w:val="24"/>
        </w:rPr>
        <w:t>prümske</w:t>
      </w:r>
      <w:proofErr w:type="spellEnd"/>
      <w:r w:rsidR="00CD4C9A">
        <w:rPr>
          <w:rFonts w:ascii="Times New Roman" w:hAnsi="Times New Roman" w:cs="Times New Roman"/>
          <w:sz w:val="24"/>
          <w:szCs w:val="24"/>
        </w:rPr>
        <w:t xml:space="preserve"> rozhodnutia)</w:t>
      </w:r>
      <w:r w:rsidRPr="00080369">
        <w:rPr>
          <w:rFonts w:ascii="Times New Roman" w:hAnsi="Times New Roman" w:cs="Times New Roman"/>
          <w:sz w:val="24"/>
          <w:szCs w:val="24"/>
        </w:rPr>
        <w:t xml:space="preserve"> od 2.</w:t>
      </w:r>
      <w:r>
        <w:rPr>
          <w:rFonts w:ascii="Times New Roman" w:hAnsi="Times New Roman" w:cs="Times New Roman"/>
          <w:sz w:val="24"/>
          <w:szCs w:val="24"/>
        </w:rPr>
        <w:t xml:space="preserve"> </w:t>
      </w:r>
      <w:r w:rsidRPr="00080369">
        <w:rPr>
          <w:rFonts w:ascii="Times New Roman" w:hAnsi="Times New Roman" w:cs="Times New Roman"/>
          <w:sz w:val="24"/>
          <w:szCs w:val="24"/>
        </w:rPr>
        <w:t>12.</w:t>
      </w:r>
      <w:r w:rsidR="00CD4C9A">
        <w:rPr>
          <w:rFonts w:ascii="Times New Roman" w:hAnsi="Times New Roman" w:cs="Times New Roman"/>
          <w:sz w:val="24"/>
          <w:szCs w:val="24"/>
        </w:rPr>
        <w:t> </w:t>
      </w:r>
      <w:r w:rsidRPr="00080369">
        <w:rPr>
          <w:rFonts w:ascii="Times New Roman" w:hAnsi="Times New Roman" w:cs="Times New Roman"/>
          <w:sz w:val="24"/>
          <w:szCs w:val="24"/>
        </w:rPr>
        <w:t>2013. Modul určený na automatizovanú výmenu in</w:t>
      </w:r>
      <w:r>
        <w:rPr>
          <w:rFonts w:ascii="Times New Roman" w:hAnsi="Times New Roman" w:cs="Times New Roman"/>
          <w:sz w:val="24"/>
          <w:szCs w:val="24"/>
        </w:rPr>
        <w:t>formácií podľa Smernice CBE bol nazvaný modul CBE  a Slovensko spustilo</w:t>
      </w:r>
      <w:r w:rsidRPr="00080369">
        <w:rPr>
          <w:rFonts w:ascii="Times New Roman" w:hAnsi="Times New Roman" w:cs="Times New Roman"/>
          <w:sz w:val="24"/>
          <w:szCs w:val="24"/>
        </w:rPr>
        <w:t xml:space="preserve"> jeho produkčnú prevádzku dňa 26.</w:t>
      </w:r>
      <w:r>
        <w:rPr>
          <w:rFonts w:ascii="Times New Roman" w:hAnsi="Times New Roman" w:cs="Times New Roman"/>
          <w:sz w:val="24"/>
          <w:szCs w:val="24"/>
        </w:rPr>
        <w:t xml:space="preserve"> </w:t>
      </w:r>
      <w:r w:rsidRPr="00080369">
        <w:rPr>
          <w:rFonts w:ascii="Times New Roman" w:hAnsi="Times New Roman" w:cs="Times New Roman"/>
          <w:sz w:val="24"/>
          <w:szCs w:val="24"/>
        </w:rPr>
        <w:t>8.</w:t>
      </w:r>
      <w:r>
        <w:rPr>
          <w:rFonts w:ascii="Times New Roman" w:hAnsi="Times New Roman" w:cs="Times New Roman"/>
          <w:sz w:val="24"/>
          <w:szCs w:val="24"/>
        </w:rPr>
        <w:t xml:space="preserve"> </w:t>
      </w:r>
      <w:r w:rsidRPr="00080369">
        <w:rPr>
          <w:rFonts w:ascii="Times New Roman" w:hAnsi="Times New Roman" w:cs="Times New Roman"/>
          <w:sz w:val="24"/>
          <w:szCs w:val="24"/>
        </w:rPr>
        <w:t>2014.</w:t>
      </w:r>
    </w:p>
    <w:p w14:paraId="05C1A469" w14:textId="0CA5F9C8" w:rsidR="000726C1" w:rsidRPr="000726C1" w:rsidRDefault="000726C1" w:rsidP="000726C1">
      <w:pPr>
        <w:spacing w:line="240" w:lineRule="auto"/>
        <w:jc w:val="both"/>
        <w:rPr>
          <w:rFonts w:ascii="Times New Roman" w:hAnsi="Times New Roman" w:cs="Times New Roman"/>
          <w:b/>
          <w:sz w:val="24"/>
          <w:szCs w:val="24"/>
        </w:rPr>
      </w:pPr>
      <w:r>
        <w:rPr>
          <w:rFonts w:ascii="Times New Roman" w:hAnsi="Times New Roman" w:cs="Times New Roman"/>
          <w:b/>
          <w:sz w:val="24"/>
          <w:szCs w:val="24"/>
        </w:rPr>
        <w:t>„Meranie disciplíny“ slovenských vodičov v zahraničí v 2021 a v 1. polroku 2022</w:t>
      </w:r>
    </w:p>
    <w:p w14:paraId="787A84CC" w14:textId="51311F47" w:rsidR="00524FA0" w:rsidRDefault="00524FA0" w:rsidP="00E33A69">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24FA0">
        <w:rPr>
          <w:rFonts w:ascii="Times New Roman" w:hAnsi="Times New Roman" w:cs="Times New Roman"/>
          <w:sz w:val="24"/>
          <w:szCs w:val="24"/>
        </w:rPr>
        <w:t xml:space="preserve">Na základe </w:t>
      </w:r>
      <w:r>
        <w:rPr>
          <w:rFonts w:ascii="Times New Roman" w:hAnsi="Times New Roman" w:cs="Times New Roman"/>
          <w:sz w:val="24"/>
          <w:szCs w:val="24"/>
        </w:rPr>
        <w:t xml:space="preserve">využívania modulu CBE možno získať základný prehľad o tom, v ktorých členských štátoch bolo vykonaných najviac vyhľadávaní vozidiel </w:t>
      </w:r>
      <w:r w:rsidR="00FA7179">
        <w:rPr>
          <w:rFonts w:ascii="Times New Roman" w:hAnsi="Times New Roman" w:cs="Times New Roman"/>
          <w:sz w:val="24"/>
          <w:szCs w:val="24"/>
        </w:rPr>
        <w:t xml:space="preserve">registrovaným na Slovensku, resp. </w:t>
      </w:r>
      <w:r w:rsidR="00CD4C9A">
        <w:rPr>
          <w:rFonts w:ascii="Times New Roman" w:hAnsi="Times New Roman" w:cs="Times New Roman"/>
          <w:sz w:val="24"/>
          <w:szCs w:val="24"/>
        </w:rPr>
        <w:t xml:space="preserve">vozidiel </w:t>
      </w:r>
      <w:r w:rsidR="00FA7179">
        <w:rPr>
          <w:rFonts w:ascii="Times New Roman" w:hAnsi="Times New Roman" w:cs="Times New Roman"/>
          <w:sz w:val="24"/>
          <w:szCs w:val="24"/>
        </w:rPr>
        <w:t>so</w:t>
      </w:r>
      <w:r>
        <w:rPr>
          <w:rFonts w:ascii="Times New Roman" w:hAnsi="Times New Roman" w:cs="Times New Roman"/>
          <w:sz w:val="24"/>
          <w:szCs w:val="24"/>
        </w:rPr>
        <w:t xml:space="preserve"> slovenským evidenčným číslom</w:t>
      </w:r>
      <w:r w:rsidR="00C750D4">
        <w:rPr>
          <w:rFonts w:ascii="Times New Roman" w:hAnsi="Times New Roman" w:cs="Times New Roman"/>
          <w:sz w:val="24"/>
          <w:szCs w:val="24"/>
        </w:rPr>
        <w:t>.</w:t>
      </w:r>
    </w:p>
    <w:p w14:paraId="7165DEB4" w14:textId="31331EA0" w:rsidR="00F13F6D" w:rsidRPr="00F13F6D" w:rsidRDefault="00F23FAB" w:rsidP="00F13F6D">
      <w:pPr>
        <w:spacing w:line="240" w:lineRule="auto"/>
        <w:ind w:left="708"/>
        <w:jc w:val="both"/>
        <w:rPr>
          <w:rFonts w:ascii="Times New Roman" w:hAnsi="Times New Roman" w:cs="Times New Roman"/>
          <w:sz w:val="20"/>
          <w:szCs w:val="20"/>
        </w:rPr>
      </w:pPr>
      <w:r>
        <w:rPr>
          <w:rFonts w:ascii="Times New Roman" w:hAnsi="Times New Roman" w:cs="Times New Roman"/>
          <w:sz w:val="20"/>
          <w:szCs w:val="20"/>
        </w:rPr>
        <w:t>Graf č. 1</w:t>
      </w:r>
      <w:r w:rsidR="00F13F6D" w:rsidRPr="001557C5">
        <w:rPr>
          <w:rFonts w:ascii="Times New Roman" w:hAnsi="Times New Roman" w:cs="Times New Roman"/>
          <w:sz w:val="20"/>
          <w:szCs w:val="20"/>
        </w:rPr>
        <w:t xml:space="preserve"> </w:t>
      </w:r>
      <w:r w:rsidR="00F13F6D">
        <w:rPr>
          <w:rFonts w:ascii="Times New Roman" w:hAnsi="Times New Roman" w:cs="Times New Roman"/>
          <w:sz w:val="20"/>
          <w:szCs w:val="20"/>
        </w:rPr>
        <w:t>Vyhľadávanie podľa evidenčných čísel vozidla</w:t>
      </w:r>
      <w:r w:rsidR="0071095B">
        <w:rPr>
          <w:rFonts w:ascii="Times New Roman" w:hAnsi="Times New Roman" w:cs="Times New Roman"/>
          <w:sz w:val="20"/>
          <w:szCs w:val="20"/>
        </w:rPr>
        <w:t xml:space="preserve"> (ďalej len „EČV“)</w:t>
      </w:r>
      <w:r w:rsidR="00CD4C9A">
        <w:rPr>
          <w:rFonts w:ascii="Times New Roman" w:hAnsi="Times New Roman" w:cs="Times New Roman"/>
          <w:sz w:val="20"/>
          <w:szCs w:val="20"/>
        </w:rPr>
        <w:t xml:space="preserve"> vydaných na Slovensku zo </w:t>
      </w:r>
      <w:r w:rsidR="00F13F6D">
        <w:rPr>
          <w:rFonts w:ascii="Times New Roman" w:hAnsi="Times New Roman" w:cs="Times New Roman"/>
          <w:sz w:val="20"/>
          <w:szCs w:val="20"/>
        </w:rPr>
        <w:t>strany zahraničných orgánov v module CBE v</w:t>
      </w:r>
      <w:r w:rsidR="00CD4C9A">
        <w:rPr>
          <w:rFonts w:ascii="Times New Roman" w:hAnsi="Times New Roman" w:cs="Times New Roman"/>
          <w:sz w:val="20"/>
          <w:szCs w:val="20"/>
        </w:rPr>
        <w:t> </w:t>
      </w:r>
      <w:r w:rsidR="00F13F6D">
        <w:rPr>
          <w:rFonts w:ascii="Times New Roman" w:hAnsi="Times New Roman" w:cs="Times New Roman"/>
          <w:sz w:val="20"/>
          <w:szCs w:val="20"/>
        </w:rPr>
        <w:t>1</w:t>
      </w:r>
      <w:r w:rsidR="00CD4C9A">
        <w:rPr>
          <w:rFonts w:ascii="Times New Roman" w:hAnsi="Times New Roman" w:cs="Times New Roman"/>
          <w:sz w:val="20"/>
          <w:szCs w:val="20"/>
        </w:rPr>
        <w:t>. polroku 2021</w:t>
      </w:r>
    </w:p>
    <w:p w14:paraId="40692DDD" w14:textId="1BE9B2B4" w:rsidR="00C54823" w:rsidRDefault="00F13F6D" w:rsidP="00F13F6D">
      <w:pPr>
        <w:spacing w:line="240" w:lineRule="auto"/>
        <w:jc w:val="center"/>
        <w:rPr>
          <w:rFonts w:ascii="Times New Roman" w:hAnsi="Times New Roman" w:cs="Times New Roman"/>
          <w:sz w:val="24"/>
          <w:szCs w:val="24"/>
        </w:rPr>
      </w:pPr>
      <w:r>
        <w:rPr>
          <w:noProof/>
          <w:lang w:eastAsia="sk-SK"/>
        </w:rPr>
        <w:drawing>
          <wp:inline distT="0" distB="0" distL="0" distR="0" wp14:anchorId="07BD6230" wp14:editId="5DF3E1AE">
            <wp:extent cx="4495800" cy="26670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547EAD" w14:textId="4684C424" w:rsidR="00F13F6D" w:rsidRPr="00F13F6D" w:rsidRDefault="00F23FAB" w:rsidP="00F13F6D">
      <w:pPr>
        <w:spacing w:line="240" w:lineRule="auto"/>
        <w:jc w:val="center"/>
        <w:rPr>
          <w:rFonts w:ascii="Times New Roman" w:hAnsi="Times New Roman" w:cs="Times New Roman"/>
          <w:sz w:val="20"/>
          <w:szCs w:val="20"/>
        </w:rPr>
      </w:pPr>
      <w:r>
        <w:rPr>
          <w:rFonts w:ascii="Times New Roman" w:hAnsi="Times New Roman" w:cs="Times New Roman"/>
          <w:sz w:val="20"/>
          <w:szCs w:val="20"/>
        </w:rPr>
        <w:t>Zdroj: Odbor</w:t>
      </w:r>
      <w:r w:rsidR="00F13F6D">
        <w:rPr>
          <w:rFonts w:ascii="Times New Roman" w:hAnsi="Times New Roman" w:cs="Times New Roman"/>
          <w:sz w:val="20"/>
          <w:szCs w:val="20"/>
        </w:rPr>
        <w:t xml:space="preserve"> dokladov a evidencií Prezídia Policajného zboru</w:t>
      </w:r>
      <w:r>
        <w:rPr>
          <w:rFonts w:ascii="Times New Roman" w:hAnsi="Times New Roman" w:cs="Times New Roman"/>
          <w:sz w:val="20"/>
          <w:szCs w:val="20"/>
        </w:rPr>
        <w:t>, vlastné spracovanie</w:t>
      </w:r>
    </w:p>
    <w:p w14:paraId="2FB397A6" w14:textId="1DC3EB94" w:rsidR="00F13F6D" w:rsidRDefault="00F13F6D" w:rsidP="00F13F6D">
      <w:pPr>
        <w:spacing w:line="240" w:lineRule="auto"/>
        <w:ind w:firstLine="708"/>
        <w:jc w:val="both"/>
        <w:rPr>
          <w:rFonts w:ascii="Times New Roman" w:hAnsi="Times New Roman" w:cs="Times New Roman"/>
          <w:sz w:val="24"/>
          <w:szCs w:val="24"/>
        </w:rPr>
      </w:pPr>
      <w:r w:rsidRPr="00F13F6D">
        <w:rPr>
          <w:rFonts w:ascii="Times New Roman" w:hAnsi="Times New Roman" w:cs="Times New Roman"/>
          <w:sz w:val="24"/>
          <w:szCs w:val="24"/>
        </w:rPr>
        <w:t>V ob</w:t>
      </w:r>
      <w:r>
        <w:rPr>
          <w:rFonts w:ascii="Times New Roman" w:hAnsi="Times New Roman" w:cs="Times New Roman"/>
          <w:sz w:val="24"/>
          <w:szCs w:val="24"/>
        </w:rPr>
        <w:t xml:space="preserve">dobí od 1. </w:t>
      </w:r>
      <w:r w:rsidR="002C6156">
        <w:rPr>
          <w:rFonts w:ascii="Times New Roman" w:hAnsi="Times New Roman" w:cs="Times New Roman"/>
          <w:sz w:val="24"/>
          <w:szCs w:val="24"/>
        </w:rPr>
        <w:t xml:space="preserve">1. 2021 do 30. </w:t>
      </w:r>
      <w:r>
        <w:rPr>
          <w:rFonts w:ascii="Times New Roman" w:hAnsi="Times New Roman" w:cs="Times New Roman"/>
          <w:sz w:val="24"/>
          <w:szCs w:val="24"/>
        </w:rPr>
        <w:t>6. 2021</w:t>
      </w:r>
      <w:r w:rsidRPr="00F13F6D">
        <w:rPr>
          <w:rFonts w:ascii="Times New Roman" w:hAnsi="Times New Roman" w:cs="Times New Roman"/>
          <w:sz w:val="24"/>
          <w:szCs w:val="24"/>
        </w:rPr>
        <w:t xml:space="preserve"> </w:t>
      </w:r>
      <w:r>
        <w:rPr>
          <w:rFonts w:ascii="Times New Roman" w:hAnsi="Times New Roman" w:cs="Times New Roman"/>
          <w:sz w:val="24"/>
          <w:szCs w:val="24"/>
        </w:rPr>
        <w:t>zahraničné orgány</w:t>
      </w:r>
      <w:r w:rsidR="002C6156">
        <w:rPr>
          <w:rFonts w:ascii="Times New Roman" w:hAnsi="Times New Roman" w:cs="Times New Roman"/>
          <w:sz w:val="24"/>
          <w:szCs w:val="24"/>
        </w:rPr>
        <w:t xml:space="preserve"> uskutočnili</w:t>
      </w:r>
      <w:r>
        <w:rPr>
          <w:rFonts w:ascii="Times New Roman" w:hAnsi="Times New Roman" w:cs="Times New Roman"/>
          <w:sz w:val="24"/>
          <w:szCs w:val="24"/>
        </w:rPr>
        <w:t xml:space="preserve"> spolu 63 411</w:t>
      </w:r>
      <w:r w:rsidRPr="00F13F6D">
        <w:rPr>
          <w:rFonts w:ascii="Times New Roman" w:hAnsi="Times New Roman" w:cs="Times New Roman"/>
          <w:sz w:val="24"/>
          <w:szCs w:val="24"/>
        </w:rPr>
        <w:t xml:space="preserve"> vyhľadávaní v module CBE. Zo štatistiky vyplýva, že medzi TOP 5 krajín, kde slovenskí vodiči </w:t>
      </w:r>
      <w:r w:rsidRPr="00F13F6D">
        <w:rPr>
          <w:rFonts w:ascii="Times New Roman" w:hAnsi="Times New Roman" w:cs="Times New Roman"/>
          <w:sz w:val="24"/>
          <w:szCs w:val="24"/>
        </w:rPr>
        <w:lastRenderedPageBreak/>
        <w:t>páchali najviac dopravných priestupkov patr</w:t>
      </w:r>
      <w:r>
        <w:rPr>
          <w:rFonts w:ascii="Times New Roman" w:hAnsi="Times New Roman" w:cs="Times New Roman"/>
          <w:sz w:val="24"/>
          <w:szCs w:val="24"/>
        </w:rPr>
        <w:t xml:space="preserve">í </w:t>
      </w:r>
      <w:r w:rsidRPr="00F13F6D">
        <w:rPr>
          <w:rFonts w:ascii="Times New Roman" w:hAnsi="Times New Roman" w:cs="Times New Roman"/>
          <w:sz w:val="24"/>
          <w:szCs w:val="24"/>
        </w:rPr>
        <w:t>Česká republika</w:t>
      </w:r>
      <w:r>
        <w:rPr>
          <w:rFonts w:ascii="Times New Roman" w:hAnsi="Times New Roman" w:cs="Times New Roman"/>
          <w:sz w:val="24"/>
          <w:szCs w:val="24"/>
        </w:rPr>
        <w:t xml:space="preserve">, Taliansko, Rakúsko, </w:t>
      </w:r>
      <w:r w:rsidRPr="00F13F6D">
        <w:rPr>
          <w:rFonts w:ascii="Times New Roman" w:hAnsi="Times New Roman" w:cs="Times New Roman"/>
          <w:sz w:val="24"/>
          <w:szCs w:val="24"/>
        </w:rPr>
        <w:t>Dánsko</w:t>
      </w:r>
      <w:r>
        <w:rPr>
          <w:rFonts w:ascii="Times New Roman" w:hAnsi="Times New Roman" w:cs="Times New Roman"/>
          <w:sz w:val="24"/>
          <w:szCs w:val="24"/>
        </w:rPr>
        <w:t xml:space="preserve"> a Belgicko. </w:t>
      </w:r>
    </w:p>
    <w:p w14:paraId="316CA8ED" w14:textId="30E70445" w:rsidR="00F46EB2" w:rsidRDefault="00F23FAB" w:rsidP="00F13F6D">
      <w:pPr>
        <w:spacing w:line="240" w:lineRule="auto"/>
        <w:ind w:left="708"/>
        <w:jc w:val="both"/>
        <w:rPr>
          <w:rFonts w:ascii="Times New Roman" w:hAnsi="Times New Roman" w:cs="Times New Roman"/>
          <w:sz w:val="20"/>
          <w:szCs w:val="20"/>
        </w:rPr>
      </w:pPr>
      <w:r>
        <w:rPr>
          <w:rFonts w:ascii="Times New Roman" w:hAnsi="Times New Roman" w:cs="Times New Roman"/>
          <w:sz w:val="20"/>
          <w:szCs w:val="20"/>
        </w:rPr>
        <w:t>Graf č. 2</w:t>
      </w:r>
      <w:r w:rsidR="00A65FDC" w:rsidRPr="001557C5">
        <w:rPr>
          <w:rFonts w:ascii="Times New Roman" w:hAnsi="Times New Roman" w:cs="Times New Roman"/>
          <w:sz w:val="20"/>
          <w:szCs w:val="20"/>
        </w:rPr>
        <w:t xml:space="preserve"> </w:t>
      </w:r>
      <w:r w:rsidR="00F13F6D">
        <w:rPr>
          <w:rFonts w:ascii="Times New Roman" w:hAnsi="Times New Roman" w:cs="Times New Roman"/>
          <w:sz w:val="20"/>
          <w:szCs w:val="20"/>
        </w:rPr>
        <w:t>Vyhľadávanie podľa evidenčných čísel vozidla vydaných na Slovensku zo strany zahraničných orgánov v module CBE v</w:t>
      </w:r>
      <w:r w:rsidR="004D5759">
        <w:rPr>
          <w:rFonts w:ascii="Times New Roman" w:hAnsi="Times New Roman" w:cs="Times New Roman"/>
          <w:sz w:val="20"/>
          <w:szCs w:val="20"/>
        </w:rPr>
        <w:t> 2.</w:t>
      </w:r>
      <w:r w:rsidR="00F13F6D">
        <w:rPr>
          <w:rFonts w:ascii="Times New Roman" w:hAnsi="Times New Roman" w:cs="Times New Roman"/>
          <w:sz w:val="20"/>
          <w:szCs w:val="20"/>
        </w:rPr>
        <w:t xml:space="preserve"> </w:t>
      </w:r>
      <w:r w:rsidR="004D5759">
        <w:rPr>
          <w:rFonts w:ascii="Times New Roman" w:hAnsi="Times New Roman" w:cs="Times New Roman"/>
          <w:sz w:val="20"/>
          <w:szCs w:val="20"/>
        </w:rPr>
        <w:t>polroku 2021</w:t>
      </w:r>
    </w:p>
    <w:p w14:paraId="4B14C67B" w14:textId="5C38B968" w:rsidR="004D5759" w:rsidRDefault="004D5759" w:rsidP="004D5759">
      <w:pPr>
        <w:spacing w:line="240" w:lineRule="auto"/>
        <w:ind w:left="708"/>
        <w:jc w:val="center"/>
        <w:rPr>
          <w:rFonts w:ascii="Times New Roman" w:hAnsi="Times New Roman" w:cs="Times New Roman"/>
          <w:sz w:val="20"/>
          <w:szCs w:val="20"/>
        </w:rPr>
      </w:pPr>
      <w:r>
        <w:rPr>
          <w:noProof/>
          <w:lang w:eastAsia="sk-SK"/>
        </w:rPr>
        <w:drawing>
          <wp:inline distT="0" distB="0" distL="0" distR="0" wp14:anchorId="67E518DB" wp14:editId="42D6E07C">
            <wp:extent cx="4524375" cy="2686050"/>
            <wp:effectExtent l="0" t="0" r="9525"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FBEB61" w14:textId="7D8E4FC7" w:rsidR="004D5759" w:rsidRDefault="004D5759" w:rsidP="004D5759">
      <w:pPr>
        <w:spacing w:line="240" w:lineRule="auto"/>
        <w:jc w:val="center"/>
        <w:rPr>
          <w:rFonts w:ascii="Times New Roman" w:hAnsi="Times New Roman" w:cs="Times New Roman"/>
          <w:sz w:val="24"/>
          <w:szCs w:val="24"/>
        </w:rPr>
      </w:pPr>
      <w:r>
        <w:rPr>
          <w:rFonts w:ascii="Times New Roman" w:hAnsi="Times New Roman" w:cs="Times New Roman"/>
          <w:sz w:val="20"/>
          <w:szCs w:val="20"/>
        </w:rPr>
        <w:t xml:space="preserve">Zdroj: </w:t>
      </w:r>
      <w:r w:rsidR="00F23FAB">
        <w:rPr>
          <w:rFonts w:ascii="Times New Roman" w:hAnsi="Times New Roman" w:cs="Times New Roman"/>
          <w:sz w:val="20"/>
          <w:szCs w:val="20"/>
        </w:rPr>
        <w:t>Odb</w:t>
      </w:r>
      <w:r w:rsidR="002C6156">
        <w:rPr>
          <w:rFonts w:ascii="Times New Roman" w:hAnsi="Times New Roman" w:cs="Times New Roman"/>
          <w:sz w:val="20"/>
          <w:szCs w:val="20"/>
        </w:rPr>
        <w:t>o</w:t>
      </w:r>
      <w:r w:rsidR="00F23FAB">
        <w:rPr>
          <w:rFonts w:ascii="Times New Roman" w:hAnsi="Times New Roman" w:cs="Times New Roman"/>
          <w:sz w:val="20"/>
          <w:szCs w:val="20"/>
        </w:rPr>
        <w:t>r dokladov a evidencií Prezídia Policajného zboru, vlastné spracovanie</w:t>
      </w:r>
    </w:p>
    <w:p w14:paraId="7AD8F50B" w14:textId="578458D8" w:rsidR="004D5759" w:rsidRDefault="004D5759" w:rsidP="004D5759">
      <w:pPr>
        <w:spacing w:line="240" w:lineRule="auto"/>
        <w:ind w:firstLine="708"/>
        <w:jc w:val="both"/>
        <w:rPr>
          <w:rFonts w:ascii="Times New Roman" w:hAnsi="Times New Roman" w:cs="Times New Roman"/>
          <w:sz w:val="24"/>
          <w:szCs w:val="24"/>
        </w:rPr>
      </w:pPr>
      <w:r w:rsidRPr="00F13F6D">
        <w:rPr>
          <w:rFonts w:ascii="Times New Roman" w:hAnsi="Times New Roman" w:cs="Times New Roman"/>
          <w:sz w:val="24"/>
          <w:szCs w:val="24"/>
        </w:rPr>
        <w:t>V ob</w:t>
      </w:r>
      <w:r>
        <w:rPr>
          <w:rFonts w:ascii="Times New Roman" w:hAnsi="Times New Roman" w:cs="Times New Roman"/>
          <w:sz w:val="24"/>
          <w:szCs w:val="24"/>
        </w:rPr>
        <w:t>dobí od 1. 7. 2021 do 31. 12. 2021</w:t>
      </w:r>
      <w:r w:rsidRPr="00F13F6D">
        <w:rPr>
          <w:rFonts w:ascii="Times New Roman" w:hAnsi="Times New Roman" w:cs="Times New Roman"/>
          <w:sz w:val="24"/>
          <w:szCs w:val="24"/>
        </w:rPr>
        <w:t xml:space="preserve"> </w:t>
      </w:r>
      <w:r>
        <w:rPr>
          <w:rFonts w:ascii="Times New Roman" w:hAnsi="Times New Roman" w:cs="Times New Roman"/>
          <w:sz w:val="24"/>
          <w:szCs w:val="24"/>
        </w:rPr>
        <w:t xml:space="preserve">zahraničné orgány </w:t>
      </w:r>
      <w:r w:rsidR="002C6156">
        <w:rPr>
          <w:rFonts w:ascii="Times New Roman" w:hAnsi="Times New Roman" w:cs="Times New Roman"/>
          <w:sz w:val="24"/>
          <w:szCs w:val="24"/>
        </w:rPr>
        <w:t xml:space="preserve">uskutočnili </w:t>
      </w:r>
      <w:r>
        <w:rPr>
          <w:rFonts w:ascii="Times New Roman" w:hAnsi="Times New Roman" w:cs="Times New Roman"/>
          <w:sz w:val="24"/>
          <w:szCs w:val="24"/>
        </w:rPr>
        <w:t>spolu 91 381</w:t>
      </w:r>
      <w:r w:rsidRPr="00F13F6D">
        <w:rPr>
          <w:rFonts w:ascii="Times New Roman" w:hAnsi="Times New Roman" w:cs="Times New Roman"/>
          <w:sz w:val="24"/>
          <w:szCs w:val="24"/>
        </w:rPr>
        <w:t xml:space="preserve"> vyhľadávaní v module CBE. </w:t>
      </w:r>
      <w:r>
        <w:rPr>
          <w:rFonts w:ascii="Times New Roman" w:hAnsi="Times New Roman" w:cs="Times New Roman"/>
          <w:sz w:val="24"/>
          <w:szCs w:val="24"/>
        </w:rPr>
        <w:t>Zo štatistiky vyplýva, že oproti 1. polroku 2021 sa slovenskí vodiči  dopustili najvia</w:t>
      </w:r>
      <w:r w:rsidR="00CD4C9A">
        <w:rPr>
          <w:rFonts w:ascii="Times New Roman" w:hAnsi="Times New Roman" w:cs="Times New Roman"/>
          <w:sz w:val="24"/>
          <w:szCs w:val="24"/>
        </w:rPr>
        <w:t xml:space="preserve">c dopravných priestupkov </w:t>
      </w:r>
      <w:r>
        <w:rPr>
          <w:rFonts w:ascii="Times New Roman" w:hAnsi="Times New Roman" w:cs="Times New Roman"/>
          <w:sz w:val="24"/>
          <w:szCs w:val="24"/>
        </w:rPr>
        <w:t xml:space="preserve">v Rakúsku, Belgicku, Bulharsku, Českej republike a Dánsku. Zo zoskupenia TOP 5 krajín z 1. polroku 2021 vypadlo Taliansko, </w:t>
      </w:r>
      <w:r w:rsidR="00CD4C9A">
        <w:rPr>
          <w:rFonts w:ascii="Times New Roman" w:hAnsi="Times New Roman" w:cs="Times New Roman"/>
          <w:sz w:val="24"/>
          <w:szCs w:val="24"/>
        </w:rPr>
        <w:t>do zoznamu</w:t>
      </w:r>
      <w:r w:rsidR="002C6156">
        <w:rPr>
          <w:rFonts w:ascii="Times New Roman" w:hAnsi="Times New Roman" w:cs="Times New Roman"/>
          <w:sz w:val="24"/>
          <w:szCs w:val="24"/>
        </w:rPr>
        <w:t xml:space="preserve"> však</w:t>
      </w:r>
      <w:r w:rsidR="00CD4C9A">
        <w:rPr>
          <w:rFonts w:ascii="Times New Roman" w:hAnsi="Times New Roman" w:cs="Times New Roman"/>
          <w:sz w:val="24"/>
          <w:szCs w:val="24"/>
        </w:rPr>
        <w:t xml:space="preserve"> bolo pridané </w:t>
      </w:r>
      <w:r>
        <w:rPr>
          <w:rFonts w:ascii="Times New Roman" w:hAnsi="Times New Roman" w:cs="Times New Roman"/>
          <w:sz w:val="24"/>
          <w:szCs w:val="24"/>
        </w:rPr>
        <w:t>Bulharsko.</w:t>
      </w:r>
    </w:p>
    <w:p w14:paraId="16CF787F" w14:textId="478030F2" w:rsidR="004D5759" w:rsidRDefault="00F23FAB" w:rsidP="004F379F">
      <w:pPr>
        <w:spacing w:line="240" w:lineRule="auto"/>
        <w:ind w:left="708"/>
        <w:jc w:val="both"/>
        <w:rPr>
          <w:rFonts w:ascii="Times New Roman" w:hAnsi="Times New Roman" w:cs="Times New Roman"/>
          <w:sz w:val="20"/>
          <w:szCs w:val="20"/>
        </w:rPr>
      </w:pPr>
      <w:r>
        <w:rPr>
          <w:rFonts w:ascii="Times New Roman" w:hAnsi="Times New Roman" w:cs="Times New Roman"/>
          <w:sz w:val="20"/>
          <w:szCs w:val="20"/>
        </w:rPr>
        <w:t>Graf č. 3</w:t>
      </w:r>
      <w:r w:rsidR="004F379F" w:rsidRPr="001557C5">
        <w:rPr>
          <w:rFonts w:ascii="Times New Roman" w:hAnsi="Times New Roman" w:cs="Times New Roman"/>
          <w:sz w:val="20"/>
          <w:szCs w:val="20"/>
        </w:rPr>
        <w:t xml:space="preserve"> </w:t>
      </w:r>
      <w:r w:rsidR="004F379F">
        <w:rPr>
          <w:rFonts w:ascii="Times New Roman" w:hAnsi="Times New Roman" w:cs="Times New Roman"/>
          <w:sz w:val="20"/>
          <w:szCs w:val="20"/>
        </w:rPr>
        <w:t>Vyhľadávanie podľa evidenčných čísel vozidla vydaných na Slovensku zo strany zahraničných orgánov v module CBE v 1. polroku 2022</w:t>
      </w:r>
    </w:p>
    <w:p w14:paraId="4A5763C6" w14:textId="77777777" w:rsidR="004D5759" w:rsidRDefault="004D5759" w:rsidP="00F13F6D">
      <w:pPr>
        <w:spacing w:line="240" w:lineRule="auto"/>
        <w:ind w:left="708"/>
        <w:jc w:val="both"/>
        <w:rPr>
          <w:rFonts w:ascii="Times New Roman" w:hAnsi="Times New Roman" w:cs="Times New Roman"/>
          <w:sz w:val="20"/>
          <w:szCs w:val="20"/>
        </w:rPr>
      </w:pPr>
    </w:p>
    <w:p w14:paraId="6B367508" w14:textId="1BE89387" w:rsidR="00F13F6D" w:rsidRPr="004F379F" w:rsidRDefault="004D5759" w:rsidP="004F379F">
      <w:pPr>
        <w:spacing w:line="240" w:lineRule="auto"/>
        <w:ind w:left="708"/>
        <w:jc w:val="center"/>
        <w:rPr>
          <w:rFonts w:ascii="Times New Roman" w:hAnsi="Times New Roman" w:cs="Times New Roman"/>
          <w:sz w:val="20"/>
          <w:szCs w:val="20"/>
        </w:rPr>
      </w:pPr>
      <w:r>
        <w:rPr>
          <w:noProof/>
          <w:lang w:eastAsia="sk-SK"/>
        </w:rPr>
        <w:drawing>
          <wp:inline distT="0" distB="0" distL="0" distR="0" wp14:anchorId="59E227CF" wp14:editId="08561A0A">
            <wp:extent cx="4400550" cy="2809875"/>
            <wp:effectExtent l="0" t="0" r="0"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9F1D61" w14:textId="5BBE69CB" w:rsidR="002976A2" w:rsidRDefault="00F13F6D" w:rsidP="00061BFB">
      <w:pPr>
        <w:spacing w:line="240" w:lineRule="auto"/>
        <w:jc w:val="center"/>
        <w:rPr>
          <w:rFonts w:ascii="Times New Roman" w:hAnsi="Times New Roman" w:cs="Times New Roman"/>
          <w:sz w:val="24"/>
          <w:szCs w:val="24"/>
        </w:rPr>
      </w:pPr>
      <w:r>
        <w:rPr>
          <w:rFonts w:ascii="Times New Roman" w:hAnsi="Times New Roman" w:cs="Times New Roman"/>
          <w:sz w:val="20"/>
          <w:szCs w:val="20"/>
        </w:rPr>
        <w:t xml:space="preserve">Zdroj: </w:t>
      </w:r>
      <w:r w:rsidR="00F23FAB">
        <w:rPr>
          <w:rFonts w:ascii="Times New Roman" w:hAnsi="Times New Roman" w:cs="Times New Roman"/>
          <w:sz w:val="20"/>
          <w:szCs w:val="20"/>
        </w:rPr>
        <w:t>Odbor dokladov a evidencií Prezídia Policajného zboru, vlastné spracovanie</w:t>
      </w:r>
    </w:p>
    <w:p w14:paraId="5EB8FC59" w14:textId="5A50D404" w:rsidR="00F06827" w:rsidRDefault="00A65FDC" w:rsidP="00E33A6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V období </w:t>
      </w:r>
      <w:r w:rsidR="00C54823">
        <w:rPr>
          <w:rFonts w:ascii="Times New Roman" w:hAnsi="Times New Roman" w:cs="Times New Roman"/>
          <w:sz w:val="24"/>
          <w:szCs w:val="24"/>
        </w:rPr>
        <w:t>od 1. 1. 2022 do 30. 6. 2022</w:t>
      </w:r>
      <w:r>
        <w:rPr>
          <w:rFonts w:ascii="Times New Roman" w:hAnsi="Times New Roman" w:cs="Times New Roman"/>
          <w:sz w:val="24"/>
          <w:szCs w:val="24"/>
        </w:rPr>
        <w:t xml:space="preserve"> </w:t>
      </w:r>
      <w:r w:rsidR="00DA3A01">
        <w:rPr>
          <w:rFonts w:ascii="Times New Roman" w:hAnsi="Times New Roman" w:cs="Times New Roman"/>
          <w:sz w:val="24"/>
          <w:szCs w:val="24"/>
        </w:rPr>
        <w:t xml:space="preserve">zahraničné orgány </w:t>
      </w:r>
      <w:r w:rsidR="002C6156">
        <w:rPr>
          <w:rFonts w:ascii="Times New Roman" w:hAnsi="Times New Roman" w:cs="Times New Roman"/>
          <w:sz w:val="24"/>
          <w:szCs w:val="24"/>
        </w:rPr>
        <w:t xml:space="preserve">uskutočnili </w:t>
      </w:r>
      <w:r w:rsidR="00DA3A01">
        <w:rPr>
          <w:rFonts w:ascii="Times New Roman" w:hAnsi="Times New Roman" w:cs="Times New Roman"/>
          <w:sz w:val="24"/>
          <w:szCs w:val="24"/>
        </w:rPr>
        <w:t>spolu 100 022 vyhľadávaní v module CBE. Zo štatistiky vyplýva, že</w:t>
      </w:r>
      <w:r w:rsidR="00C54823">
        <w:rPr>
          <w:rFonts w:ascii="Times New Roman" w:hAnsi="Times New Roman" w:cs="Times New Roman"/>
          <w:sz w:val="24"/>
          <w:szCs w:val="24"/>
        </w:rPr>
        <w:t xml:space="preserve"> medzi TOP 5 krajín, kde</w:t>
      </w:r>
      <w:r w:rsidR="00DA3A01">
        <w:rPr>
          <w:rFonts w:ascii="Times New Roman" w:hAnsi="Times New Roman" w:cs="Times New Roman"/>
          <w:sz w:val="24"/>
          <w:szCs w:val="24"/>
        </w:rPr>
        <w:t xml:space="preserve"> </w:t>
      </w:r>
      <w:r w:rsidR="00C54823">
        <w:rPr>
          <w:rFonts w:ascii="Times New Roman" w:hAnsi="Times New Roman" w:cs="Times New Roman"/>
          <w:sz w:val="24"/>
          <w:szCs w:val="24"/>
        </w:rPr>
        <w:t xml:space="preserve">slovenskí </w:t>
      </w:r>
      <w:r w:rsidR="00DA3A01">
        <w:rPr>
          <w:rFonts w:ascii="Times New Roman" w:hAnsi="Times New Roman" w:cs="Times New Roman"/>
          <w:sz w:val="24"/>
          <w:szCs w:val="24"/>
        </w:rPr>
        <w:t>vodiči</w:t>
      </w:r>
      <w:r w:rsidR="00C54823">
        <w:rPr>
          <w:rFonts w:ascii="Times New Roman" w:hAnsi="Times New Roman" w:cs="Times New Roman"/>
          <w:sz w:val="24"/>
          <w:szCs w:val="24"/>
        </w:rPr>
        <w:t xml:space="preserve"> páchali najviac dopr</w:t>
      </w:r>
      <w:r w:rsidR="00061BFB">
        <w:rPr>
          <w:rFonts w:ascii="Times New Roman" w:hAnsi="Times New Roman" w:cs="Times New Roman"/>
          <w:sz w:val="24"/>
          <w:szCs w:val="24"/>
        </w:rPr>
        <w:t xml:space="preserve">avných priestupkov patrí </w:t>
      </w:r>
      <w:r w:rsidR="00C54823">
        <w:rPr>
          <w:rFonts w:ascii="Times New Roman" w:hAnsi="Times New Roman" w:cs="Times New Roman"/>
          <w:sz w:val="24"/>
          <w:szCs w:val="24"/>
        </w:rPr>
        <w:t>Česká republika</w:t>
      </w:r>
      <w:r w:rsidR="00061BFB">
        <w:rPr>
          <w:rFonts w:ascii="Times New Roman" w:hAnsi="Times New Roman" w:cs="Times New Roman"/>
          <w:sz w:val="24"/>
          <w:szCs w:val="24"/>
        </w:rPr>
        <w:t>, Taliansko, Maďarsko, Rakúsko</w:t>
      </w:r>
      <w:r w:rsidR="00C54823">
        <w:rPr>
          <w:rFonts w:ascii="Times New Roman" w:hAnsi="Times New Roman" w:cs="Times New Roman"/>
          <w:sz w:val="24"/>
          <w:szCs w:val="24"/>
        </w:rPr>
        <w:t xml:space="preserve"> a </w:t>
      </w:r>
      <w:r w:rsidR="004D5759">
        <w:rPr>
          <w:rFonts w:ascii="Times New Roman" w:hAnsi="Times New Roman" w:cs="Times New Roman"/>
          <w:sz w:val="24"/>
          <w:szCs w:val="24"/>
        </w:rPr>
        <w:t>Belgicko</w:t>
      </w:r>
      <w:r w:rsidR="00C54823">
        <w:rPr>
          <w:rFonts w:ascii="Times New Roman" w:hAnsi="Times New Roman" w:cs="Times New Roman"/>
          <w:sz w:val="24"/>
          <w:szCs w:val="24"/>
        </w:rPr>
        <w:t xml:space="preserve">. </w:t>
      </w:r>
      <w:r w:rsidR="00DA3A01">
        <w:rPr>
          <w:rFonts w:ascii="Times New Roman" w:hAnsi="Times New Roman" w:cs="Times New Roman"/>
          <w:sz w:val="24"/>
          <w:szCs w:val="24"/>
        </w:rPr>
        <w:t xml:space="preserve"> </w:t>
      </w:r>
    </w:p>
    <w:p w14:paraId="3F6D77C0" w14:textId="7FF97A82" w:rsidR="00C750D4" w:rsidRDefault="000726C1" w:rsidP="00E33A69">
      <w:pPr>
        <w:spacing w:line="240" w:lineRule="auto"/>
        <w:jc w:val="both"/>
        <w:rPr>
          <w:rFonts w:ascii="Times New Roman" w:hAnsi="Times New Roman" w:cs="Times New Roman"/>
          <w:b/>
          <w:sz w:val="24"/>
          <w:szCs w:val="24"/>
        </w:rPr>
      </w:pPr>
      <w:r w:rsidRPr="000726C1">
        <w:rPr>
          <w:rFonts w:ascii="Times New Roman" w:hAnsi="Times New Roman" w:cs="Times New Roman"/>
          <w:b/>
          <w:sz w:val="24"/>
          <w:szCs w:val="24"/>
        </w:rPr>
        <w:t>„</w:t>
      </w:r>
      <w:r>
        <w:rPr>
          <w:rFonts w:ascii="Times New Roman" w:hAnsi="Times New Roman" w:cs="Times New Roman"/>
          <w:b/>
          <w:sz w:val="24"/>
          <w:szCs w:val="24"/>
        </w:rPr>
        <w:t xml:space="preserve">Meranie disciplíny“ </w:t>
      </w:r>
      <w:r w:rsidRPr="000726C1">
        <w:rPr>
          <w:rFonts w:ascii="Times New Roman" w:hAnsi="Times New Roman" w:cs="Times New Roman"/>
          <w:b/>
          <w:sz w:val="24"/>
          <w:szCs w:val="24"/>
        </w:rPr>
        <w:t>vodičov</w:t>
      </w:r>
      <w:r>
        <w:rPr>
          <w:rFonts w:ascii="Times New Roman" w:hAnsi="Times New Roman" w:cs="Times New Roman"/>
          <w:b/>
          <w:sz w:val="24"/>
          <w:szCs w:val="24"/>
        </w:rPr>
        <w:t xml:space="preserve"> – nerezidentov na Slovensku </w:t>
      </w:r>
      <w:r w:rsidRPr="000726C1">
        <w:rPr>
          <w:rFonts w:ascii="Times New Roman" w:hAnsi="Times New Roman" w:cs="Times New Roman"/>
          <w:b/>
          <w:sz w:val="24"/>
          <w:szCs w:val="24"/>
        </w:rPr>
        <w:t>v 2021 a</w:t>
      </w:r>
      <w:r>
        <w:rPr>
          <w:rFonts w:ascii="Times New Roman" w:hAnsi="Times New Roman" w:cs="Times New Roman"/>
          <w:b/>
          <w:sz w:val="24"/>
          <w:szCs w:val="24"/>
        </w:rPr>
        <w:t xml:space="preserve"> v </w:t>
      </w:r>
      <w:r w:rsidRPr="000726C1">
        <w:rPr>
          <w:rFonts w:ascii="Times New Roman" w:hAnsi="Times New Roman" w:cs="Times New Roman"/>
          <w:b/>
          <w:sz w:val="24"/>
          <w:szCs w:val="24"/>
        </w:rPr>
        <w:t>1. polroku 2022</w:t>
      </w:r>
    </w:p>
    <w:p w14:paraId="5705AE82" w14:textId="0C751697" w:rsidR="004F379F" w:rsidRPr="00404782" w:rsidRDefault="004F379F" w:rsidP="00E33A69">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0726C1">
        <w:rPr>
          <w:rFonts w:ascii="Times New Roman" w:hAnsi="Times New Roman" w:cs="Times New Roman"/>
          <w:sz w:val="24"/>
          <w:szCs w:val="24"/>
        </w:rPr>
        <w:t>Prostredníctvom</w:t>
      </w:r>
      <w:r>
        <w:rPr>
          <w:rFonts w:ascii="Times New Roman" w:hAnsi="Times New Roman" w:cs="Times New Roman"/>
          <w:sz w:val="24"/>
          <w:szCs w:val="24"/>
        </w:rPr>
        <w:t xml:space="preserve"> </w:t>
      </w:r>
      <w:r w:rsidR="000726C1">
        <w:rPr>
          <w:rFonts w:ascii="Times New Roman" w:hAnsi="Times New Roman" w:cs="Times New Roman"/>
          <w:sz w:val="24"/>
          <w:szCs w:val="24"/>
        </w:rPr>
        <w:t xml:space="preserve">štatistických údajov </w:t>
      </w:r>
      <w:r>
        <w:rPr>
          <w:rFonts w:ascii="Times New Roman" w:hAnsi="Times New Roman" w:cs="Times New Roman"/>
          <w:sz w:val="24"/>
          <w:szCs w:val="24"/>
        </w:rPr>
        <w:t>modulu CBE možno získať</w:t>
      </w:r>
      <w:r w:rsidR="00404782">
        <w:rPr>
          <w:rFonts w:ascii="Times New Roman" w:hAnsi="Times New Roman" w:cs="Times New Roman"/>
          <w:sz w:val="24"/>
          <w:szCs w:val="24"/>
        </w:rPr>
        <w:t xml:space="preserve"> základný prehľad </w:t>
      </w:r>
      <w:r w:rsidR="00CD4C9A">
        <w:rPr>
          <w:rFonts w:ascii="Times New Roman" w:hAnsi="Times New Roman" w:cs="Times New Roman"/>
          <w:sz w:val="24"/>
          <w:szCs w:val="24"/>
        </w:rPr>
        <w:t>aj o vodičoch – nerezidentoch</w:t>
      </w:r>
      <w:r w:rsidR="00404782">
        <w:rPr>
          <w:rFonts w:ascii="Times New Roman" w:hAnsi="Times New Roman" w:cs="Times New Roman"/>
          <w:sz w:val="24"/>
          <w:szCs w:val="24"/>
        </w:rPr>
        <w:t xml:space="preserve"> - jazdiaci</w:t>
      </w:r>
      <w:r w:rsidR="00CD4C9A">
        <w:rPr>
          <w:rFonts w:ascii="Times New Roman" w:hAnsi="Times New Roman" w:cs="Times New Roman"/>
          <w:sz w:val="24"/>
          <w:szCs w:val="24"/>
        </w:rPr>
        <w:t>ch</w:t>
      </w:r>
      <w:r w:rsidR="00404782">
        <w:rPr>
          <w:rFonts w:ascii="Times New Roman" w:hAnsi="Times New Roman" w:cs="Times New Roman"/>
          <w:sz w:val="24"/>
          <w:szCs w:val="24"/>
        </w:rPr>
        <w:t xml:space="preserve"> na vozidlách evidovaných v iných členských štátoch</w:t>
      </w:r>
      <w:r w:rsidR="00CD4C9A">
        <w:rPr>
          <w:rFonts w:ascii="Times New Roman" w:hAnsi="Times New Roman" w:cs="Times New Roman"/>
          <w:sz w:val="24"/>
          <w:szCs w:val="24"/>
        </w:rPr>
        <w:t>, ktorí</w:t>
      </w:r>
      <w:r w:rsidR="00404782">
        <w:rPr>
          <w:rFonts w:ascii="Times New Roman" w:hAnsi="Times New Roman" w:cs="Times New Roman"/>
          <w:sz w:val="24"/>
          <w:szCs w:val="24"/>
        </w:rPr>
        <w:t xml:space="preserve"> </w:t>
      </w:r>
      <w:r>
        <w:rPr>
          <w:rFonts w:ascii="Times New Roman" w:hAnsi="Times New Roman" w:cs="Times New Roman"/>
          <w:sz w:val="24"/>
          <w:szCs w:val="24"/>
        </w:rPr>
        <w:t>porušovali dopravné predpisy na území Slovenska</w:t>
      </w:r>
      <w:r w:rsidR="0071095B">
        <w:rPr>
          <w:rFonts w:ascii="Times New Roman" w:hAnsi="Times New Roman" w:cs="Times New Roman"/>
          <w:sz w:val="24"/>
          <w:szCs w:val="24"/>
        </w:rPr>
        <w:t xml:space="preserve"> najčastejšie</w:t>
      </w:r>
      <w:r>
        <w:rPr>
          <w:rFonts w:ascii="Times New Roman" w:hAnsi="Times New Roman" w:cs="Times New Roman"/>
          <w:sz w:val="24"/>
          <w:szCs w:val="24"/>
        </w:rPr>
        <w:t xml:space="preserve">. </w:t>
      </w:r>
    </w:p>
    <w:p w14:paraId="503BF3B7" w14:textId="0051C2EF" w:rsidR="006C7971" w:rsidRDefault="001E47F4" w:rsidP="000726C1">
      <w:pPr>
        <w:spacing w:line="240" w:lineRule="auto"/>
        <w:ind w:left="708"/>
        <w:jc w:val="both"/>
        <w:rPr>
          <w:rFonts w:ascii="Times New Roman" w:hAnsi="Times New Roman" w:cs="Times New Roman"/>
          <w:sz w:val="20"/>
          <w:szCs w:val="20"/>
        </w:rPr>
      </w:pPr>
      <w:r>
        <w:rPr>
          <w:noProof/>
          <w:lang w:eastAsia="sk-SK"/>
        </w:rPr>
        <w:drawing>
          <wp:anchor distT="0" distB="0" distL="114300" distR="114300" simplePos="0" relativeHeight="251658240" behindDoc="1" locked="0" layoutInCell="1" allowOverlap="1" wp14:anchorId="4A127DBE" wp14:editId="7684B711">
            <wp:simplePos x="0" y="0"/>
            <wp:positionH relativeFrom="column">
              <wp:posOffset>452755</wp:posOffset>
            </wp:positionH>
            <wp:positionV relativeFrom="paragraph">
              <wp:posOffset>315595</wp:posOffset>
            </wp:positionV>
            <wp:extent cx="4362450" cy="2114550"/>
            <wp:effectExtent l="0" t="0" r="0" b="0"/>
            <wp:wrapTight wrapText="bothSides">
              <wp:wrapPolygon edited="0">
                <wp:start x="0" y="0"/>
                <wp:lineTo x="0" y="21405"/>
                <wp:lineTo x="21506" y="21405"/>
                <wp:lineTo x="21506" y="0"/>
                <wp:lineTo x="0" y="0"/>
              </wp:wrapPolygon>
            </wp:wrapTight>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F23FAB">
        <w:rPr>
          <w:rFonts w:ascii="Times New Roman" w:hAnsi="Times New Roman" w:cs="Times New Roman"/>
          <w:sz w:val="20"/>
          <w:szCs w:val="20"/>
        </w:rPr>
        <w:t>Graf č. 4</w:t>
      </w:r>
      <w:r w:rsidR="004F379F" w:rsidRPr="001557C5">
        <w:rPr>
          <w:rFonts w:ascii="Times New Roman" w:hAnsi="Times New Roman" w:cs="Times New Roman"/>
          <w:sz w:val="20"/>
          <w:szCs w:val="20"/>
        </w:rPr>
        <w:t xml:space="preserve"> </w:t>
      </w:r>
      <w:r w:rsidR="006C7971">
        <w:rPr>
          <w:rFonts w:ascii="Times New Roman" w:hAnsi="Times New Roman" w:cs="Times New Roman"/>
          <w:sz w:val="20"/>
          <w:szCs w:val="20"/>
        </w:rPr>
        <w:t>Vyhľadávanie podľa zahraničných</w:t>
      </w:r>
      <w:r w:rsidR="004F379F">
        <w:rPr>
          <w:rFonts w:ascii="Times New Roman" w:hAnsi="Times New Roman" w:cs="Times New Roman"/>
          <w:sz w:val="20"/>
          <w:szCs w:val="20"/>
        </w:rPr>
        <w:t xml:space="preserve"> evidenčných čís</w:t>
      </w:r>
      <w:r w:rsidR="008B222A">
        <w:rPr>
          <w:rFonts w:ascii="Times New Roman" w:hAnsi="Times New Roman" w:cs="Times New Roman"/>
          <w:sz w:val="20"/>
          <w:szCs w:val="20"/>
        </w:rPr>
        <w:t>el vozidla zo strany p</w:t>
      </w:r>
      <w:r w:rsidR="006C7971">
        <w:rPr>
          <w:rFonts w:ascii="Times New Roman" w:hAnsi="Times New Roman" w:cs="Times New Roman"/>
          <w:sz w:val="20"/>
          <w:szCs w:val="20"/>
        </w:rPr>
        <w:t>ríslušníkov P</w:t>
      </w:r>
      <w:r w:rsidR="008B222A">
        <w:rPr>
          <w:rFonts w:ascii="Times New Roman" w:hAnsi="Times New Roman" w:cs="Times New Roman"/>
          <w:sz w:val="20"/>
          <w:szCs w:val="20"/>
        </w:rPr>
        <w:t>olicajného zboru</w:t>
      </w:r>
      <w:r w:rsidR="006C7971">
        <w:rPr>
          <w:rFonts w:ascii="Times New Roman" w:hAnsi="Times New Roman" w:cs="Times New Roman"/>
          <w:sz w:val="20"/>
          <w:szCs w:val="20"/>
        </w:rPr>
        <w:t xml:space="preserve"> </w:t>
      </w:r>
      <w:r w:rsidR="004F379F">
        <w:rPr>
          <w:rFonts w:ascii="Times New Roman" w:hAnsi="Times New Roman" w:cs="Times New Roman"/>
          <w:sz w:val="20"/>
          <w:szCs w:val="20"/>
        </w:rPr>
        <w:t>v module CBE v </w:t>
      </w:r>
      <w:r w:rsidR="006C7971">
        <w:rPr>
          <w:rFonts w:ascii="Times New Roman" w:hAnsi="Times New Roman" w:cs="Times New Roman"/>
          <w:sz w:val="20"/>
          <w:szCs w:val="20"/>
        </w:rPr>
        <w:t>1</w:t>
      </w:r>
      <w:r w:rsidR="004F379F">
        <w:rPr>
          <w:rFonts w:ascii="Times New Roman" w:hAnsi="Times New Roman" w:cs="Times New Roman"/>
          <w:sz w:val="20"/>
          <w:szCs w:val="20"/>
        </w:rPr>
        <w:t xml:space="preserve">. </w:t>
      </w:r>
      <w:r w:rsidR="006C7971">
        <w:rPr>
          <w:rFonts w:ascii="Times New Roman" w:hAnsi="Times New Roman" w:cs="Times New Roman"/>
          <w:sz w:val="20"/>
          <w:szCs w:val="20"/>
        </w:rPr>
        <w:t xml:space="preserve">polroku 2021 </w:t>
      </w:r>
    </w:p>
    <w:p w14:paraId="76C05984" w14:textId="0D8D49B8" w:rsidR="00524FA0" w:rsidRDefault="00524FA0" w:rsidP="006C7971">
      <w:pPr>
        <w:spacing w:line="240" w:lineRule="auto"/>
        <w:jc w:val="both"/>
        <w:rPr>
          <w:rFonts w:ascii="Times New Roman" w:hAnsi="Times New Roman" w:cs="Times New Roman"/>
          <w:b/>
          <w:sz w:val="24"/>
          <w:szCs w:val="24"/>
        </w:rPr>
      </w:pPr>
    </w:p>
    <w:p w14:paraId="026EBDB9" w14:textId="6D710EC9" w:rsidR="006C7971" w:rsidRDefault="006C7971" w:rsidP="006C7971">
      <w:pPr>
        <w:spacing w:line="240" w:lineRule="auto"/>
        <w:jc w:val="both"/>
        <w:rPr>
          <w:rFonts w:ascii="Times New Roman" w:hAnsi="Times New Roman" w:cs="Times New Roman"/>
          <w:b/>
          <w:sz w:val="24"/>
          <w:szCs w:val="24"/>
        </w:rPr>
      </w:pPr>
    </w:p>
    <w:p w14:paraId="25513826" w14:textId="37E3CF6A" w:rsidR="006C7971" w:rsidRDefault="006C7971" w:rsidP="006C7971">
      <w:pPr>
        <w:spacing w:line="240" w:lineRule="auto"/>
        <w:jc w:val="both"/>
        <w:rPr>
          <w:rFonts w:ascii="Times New Roman" w:hAnsi="Times New Roman" w:cs="Times New Roman"/>
          <w:b/>
          <w:sz w:val="24"/>
          <w:szCs w:val="24"/>
        </w:rPr>
      </w:pPr>
    </w:p>
    <w:p w14:paraId="3998E588" w14:textId="39AA6BF2" w:rsidR="006C7971" w:rsidRDefault="006C7971" w:rsidP="006C7971">
      <w:pPr>
        <w:spacing w:line="240" w:lineRule="auto"/>
        <w:jc w:val="both"/>
        <w:rPr>
          <w:rFonts w:ascii="Times New Roman" w:hAnsi="Times New Roman" w:cs="Times New Roman"/>
          <w:b/>
          <w:sz w:val="24"/>
          <w:szCs w:val="24"/>
        </w:rPr>
      </w:pPr>
    </w:p>
    <w:p w14:paraId="59FBFF13" w14:textId="337565C7" w:rsidR="006C7971" w:rsidRDefault="006C7971" w:rsidP="006C7971">
      <w:pPr>
        <w:spacing w:line="240" w:lineRule="auto"/>
        <w:jc w:val="both"/>
        <w:rPr>
          <w:rFonts w:ascii="Times New Roman" w:hAnsi="Times New Roman" w:cs="Times New Roman"/>
          <w:b/>
          <w:sz w:val="24"/>
          <w:szCs w:val="24"/>
        </w:rPr>
      </w:pPr>
    </w:p>
    <w:p w14:paraId="39CE5005" w14:textId="3AE0A9A8" w:rsidR="006C7971" w:rsidRDefault="006C7971" w:rsidP="006C7971">
      <w:pPr>
        <w:spacing w:line="240" w:lineRule="auto"/>
        <w:jc w:val="both"/>
        <w:rPr>
          <w:rFonts w:ascii="Times New Roman" w:hAnsi="Times New Roman" w:cs="Times New Roman"/>
          <w:b/>
          <w:sz w:val="24"/>
          <w:szCs w:val="24"/>
        </w:rPr>
      </w:pPr>
    </w:p>
    <w:p w14:paraId="54206589" w14:textId="6FD9D231" w:rsidR="006C7971" w:rsidRDefault="006C7971" w:rsidP="006C7971">
      <w:pPr>
        <w:spacing w:line="240" w:lineRule="auto"/>
        <w:jc w:val="both"/>
        <w:rPr>
          <w:rFonts w:ascii="Times New Roman" w:hAnsi="Times New Roman" w:cs="Times New Roman"/>
          <w:b/>
          <w:sz w:val="24"/>
          <w:szCs w:val="24"/>
        </w:rPr>
      </w:pPr>
    </w:p>
    <w:p w14:paraId="18580631" w14:textId="27931861" w:rsidR="006C7971" w:rsidRDefault="006C7971" w:rsidP="006C7971">
      <w:pPr>
        <w:spacing w:line="240" w:lineRule="auto"/>
        <w:jc w:val="center"/>
        <w:rPr>
          <w:rFonts w:ascii="Times New Roman" w:hAnsi="Times New Roman" w:cs="Times New Roman"/>
          <w:sz w:val="24"/>
          <w:szCs w:val="24"/>
        </w:rPr>
      </w:pPr>
      <w:r>
        <w:rPr>
          <w:rFonts w:ascii="Times New Roman" w:hAnsi="Times New Roman" w:cs="Times New Roman"/>
          <w:sz w:val="20"/>
          <w:szCs w:val="20"/>
        </w:rPr>
        <w:t xml:space="preserve">Zdroj: </w:t>
      </w:r>
      <w:r w:rsidR="00F23FAB">
        <w:rPr>
          <w:rFonts w:ascii="Times New Roman" w:hAnsi="Times New Roman" w:cs="Times New Roman"/>
          <w:sz w:val="20"/>
          <w:szCs w:val="20"/>
        </w:rPr>
        <w:t>Odbor dokladov a evidencií Prezídia Policajného zboru, vlastné spracovanie</w:t>
      </w:r>
    </w:p>
    <w:p w14:paraId="160ADB36" w14:textId="5693F5CF" w:rsidR="00A72F59" w:rsidRDefault="008B222A" w:rsidP="00E33A69">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V období od 1. 1. 2021 do 30. 06. 2021 príslušníci Policajného zboru </w:t>
      </w:r>
      <w:r w:rsidR="002C6156">
        <w:rPr>
          <w:rFonts w:ascii="Times New Roman" w:hAnsi="Times New Roman" w:cs="Times New Roman"/>
          <w:sz w:val="24"/>
          <w:szCs w:val="24"/>
        </w:rPr>
        <w:t xml:space="preserve">uskutočnili </w:t>
      </w:r>
      <w:r>
        <w:rPr>
          <w:rFonts w:ascii="Times New Roman" w:hAnsi="Times New Roman" w:cs="Times New Roman"/>
          <w:sz w:val="24"/>
          <w:szCs w:val="24"/>
        </w:rPr>
        <w:t>spolu 1019 vyhľadávaní zahraničných evidenčných čísel vozidiel v module CBE.</w:t>
      </w:r>
      <w:r w:rsidR="00DC37D2">
        <w:rPr>
          <w:rFonts w:ascii="Times New Roman" w:hAnsi="Times New Roman" w:cs="Times New Roman"/>
          <w:sz w:val="24"/>
          <w:szCs w:val="24"/>
        </w:rPr>
        <w:t xml:space="preserve"> Z grafu vyššie vyplýva, že najviac dopravných priestupkov bolo na území Slovenska páchaných zo strany vodičov – nerezidentov (resp. vodičov používajúcich vozidlá registrované v inom členskom štáte) – z Českej republiky, Poľska, Rakúska, Dánska a Maďarska.</w:t>
      </w:r>
    </w:p>
    <w:p w14:paraId="58131B74" w14:textId="33B447A7" w:rsidR="00D37383" w:rsidRDefault="00F23FAB" w:rsidP="00D37383">
      <w:pPr>
        <w:spacing w:line="240" w:lineRule="auto"/>
        <w:ind w:left="708"/>
        <w:jc w:val="both"/>
        <w:rPr>
          <w:rFonts w:ascii="Times New Roman" w:hAnsi="Times New Roman" w:cs="Times New Roman"/>
          <w:sz w:val="20"/>
          <w:szCs w:val="20"/>
        </w:rPr>
      </w:pPr>
      <w:r>
        <w:rPr>
          <w:rFonts w:ascii="Times New Roman" w:hAnsi="Times New Roman" w:cs="Times New Roman"/>
          <w:sz w:val="20"/>
          <w:szCs w:val="20"/>
        </w:rPr>
        <w:t>Graf č. 5</w:t>
      </w:r>
      <w:r w:rsidR="00D37383" w:rsidRPr="001557C5">
        <w:rPr>
          <w:rFonts w:ascii="Times New Roman" w:hAnsi="Times New Roman" w:cs="Times New Roman"/>
          <w:sz w:val="20"/>
          <w:szCs w:val="20"/>
        </w:rPr>
        <w:t xml:space="preserve"> </w:t>
      </w:r>
      <w:r w:rsidR="00D37383">
        <w:rPr>
          <w:rFonts w:ascii="Times New Roman" w:hAnsi="Times New Roman" w:cs="Times New Roman"/>
          <w:sz w:val="20"/>
          <w:szCs w:val="20"/>
        </w:rPr>
        <w:t>Vyhľadávanie podľa zahraničných evidenčných čís</w:t>
      </w:r>
      <w:r w:rsidR="008B222A">
        <w:rPr>
          <w:rFonts w:ascii="Times New Roman" w:hAnsi="Times New Roman" w:cs="Times New Roman"/>
          <w:sz w:val="20"/>
          <w:szCs w:val="20"/>
        </w:rPr>
        <w:t>el vozidla zo strany p</w:t>
      </w:r>
      <w:r w:rsidR="00D37383">
        <w:rPr>
          <w:rFonts w:ascii="Times New Roman" w:hAnsi="Times New Roman" w:cs="Times New Roman"/>
          <w:sz w:val="20"/>
          <w:szCs w:val="20"/>
        </w:rPr>
        <w:t xml:space="preserve">ríslušníkov PZ v module CBE v 2. polroku 2021 </w:t>
      </w:r>
    </w:p>
    <w:p w14:paraId="05F237E1" w14:textId="4CFA9BAB" w:rsidR="00D37383" w:rsidRDefault="00D37383" w:rsidP="00650AB0">
      <w:pPr>
        <w:spacing w:line="240" w:lineRule="auto"/>
        <w:ind w:left="708"/>
        <w:jc w:val="center"/>
        <w:rPr>
          <w:rFonts w:ascii="Times New Roman" w:hAnsi="Times New Roman" w:cs="Times New Roman"/>
          <w:sz w:val="20"/>
          <w:szCs w:val="20"/>
        </w:rPr>
      </w:pPr>
      <w:r>
        <w:rPr>
          <w:noProof/>
          <w:lang w:eastAsia="sk-SK"/>
        </w:rPr>
        <w:drawing>
          <wp:inline distT="0" distB="0" distL="0" distR="0" wp14:anchorId="17817218" wp14:editId="73D7F24B">
            <wp:extent cx="4238625" cy="2524125"/>
            <wp:effectExtent l="0" t="0" r="9525" b="952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67AD70" w14:textId="3FA69C95" w:rsidR="00D37383" w:rsidRDefault="00D37383" w:rsidP="00D3738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Zdroj: </w:t>
      </w:r>
      <w:r w:rsidR="00F23FAB">
        <w:rPr>
          <w:rFonts w:ascii="Times New Roman" w:hAnsi="Times New Roman" w:cs="Times New Roman"/>
          <w:sz w:val="20"/>
          <w:szCs w:val="20"/>
        </w:rPr>
        <w:t>Odbor dokladov a evidencií Prezídia Policajného zboru, vlastné spracovanie</w:t>
      </w:r>
    </w:p>
    <w:p w14:paraId="316AC5F7" w14:textId="453C9DB3" w:rsidR="00DC37D2" w:rsidRPr="00125043" w:rsidRDefault="00DC37D2" w:rsidP="00125043">
      <w:pPr>
        <w:spacing w:line="240" w:lineRule="auto"/>
        <w:ind w:firstLine="708"/>
        <w:jc w:val="both"/>
        <w:rPr>
          <w:rFonts w:ascii="Times New Roman" w:hAnsi="Times New Roman" w:cs="Times New Roman"/>
          <w:sz w:val="20"/>
          <w:szCs w:val="20"/>
        </w:rPr>
      </w:pPr>
      <w:r>
        <w:rPr>
          <w:rFonts w:ascii="Times New Roman" w:hAnsi="Times New Roman" w:cs="Times New Roman"/>
          <w:sz w:val="24"/>
          <w:szCs w:val="24"/>
        </w:rPr>
        <w:lastRenderedPageBreak/>
        <w:t>V období od 1. 7. 2021 do 31. 12. 2021 príslušníci Policajného zboru v porovnaní s 1. polrokom 2021</w:t>
      </w:r>
      <w:r w:rsidR="002C6156">
        <w:rPr>
          <w:rFonts w:ascii="Times New Roman" w:hAnsi="Times New Roman" w:cs="Times New Roman"/>
          <w:sz w:val="24"/>
          <w:szCs w:val="24"/>
        </w:rPr>
        <w:t xml:space="preserve"> uskutočnili</w:t>
      </w:r>
      <w:r>
        <w:rPr>
          <w:rFonts w:ascii="Times New Roman" w:hAnsi="Times New Roman" w:cs="Times New Roman"/>
          <w:sz w:val="24"/>
          <w:szCs w:val="24"/>
        </w:rPr>
        <w:t xml:space="preserve"> viac vyhľadávaní zahraničných evidenčných čísel vozidiel v module CBE, a to konkrétne 1</w:t>
      </w:r>
      <w:r w:rsidR="002C6156">
        <w:rPr>
          <w:rFonts w:ascii="Times New Roman" w:hAnsi="Times New Roman" w:cs="Times New Roman"/>
          <w:sz w:val="24"/>
          <w:szCs w:val="24"/>
        </w:rPr>
        <w:t xml:space="preserve"> </w:t>
      </w:r>
      <w:r>
        <w:rPr>
          <w:rFonts w:ascii="Times New Roman" w:hAnsi="Times New Roman" w:cs="Times New Roman"/>
          <w:sz w:val="24"/>
          <w:szCs w:val="24"/>
        </w:rPr>
        <w:t xml:space="preserve">055. V TOP 3 zostávajú nerezidenti (resp. vodiči používajúcich vozidlá registrované v inom členskom štáte) – z Českej republiky, Poľska, Rakúska. Na štvrtej pozícii </w:t>
      </w:r>
      <w:r w:rsidR="00125043">
        <w:rPr>
          <w:rFonts w:ascii="Times New Roman" w:hAnsi="Times New Roman" w:cs="Times New Roman"/>
          <w:sz w:val="24"/>
          <w:szCs w:val="24"/>
        </w:rPr>
        <w:t xml:space="preserve">bolo v porovnaní s 1. polrokom 2021 nahradené Dánsko Nemeckom, </w:t>
      </w:r>
      <w:r>
        <w:rPr>
          <w:rFonts w:ascii="Times New Roman" w:hAnsi="Times New Roman" w:cs="Times New Roman"/>
          <w:sz w:val="24"/>
          <w:szCs w:val="24"/>
        </w:rPr>
        <w:t>Maďarsko si zachovalo svoje por</w:t>
      </w:r>
      <w:r w:rsidR="00CD4C9A">
        <w:rPr>
          <w:rFonts w:ascii="Times New Roman" w:hAnsi="Times New Roman" w:cs="Times New Roman"/>
          <w:sz w:val="24"/>
          <w:szCs w:val="24"/>
        </w:rPr>
        <w:t>adie na 5. mieste</w:t>
      </w:r>
      <w:r w:rsidR="00125043">
        <w:rPr>
          <w:rFonts w:ascii="Times New Roman" w:hAnsi="Times New Roman" w:cs="Times New Roman"/>
          <w:sz w:val="24"/>
          <w:szCs w:val="24"/>
        </w:rPr>
        <w:t xml:space="preserve">. </w:t>
      </w:r>
    </w:p>
    <w:p w14:paraId="7EEE2390" w14:textId="755D764D" w:rsidR="00D37383" w:rsidRDefault="00F23FAB" w:rsidP="00D37383">
      <w:pPr>
        <w:spacing w:line="240" w:lineRule="auto"/>
        <w:ind w:left="708"/>
        <w:jc w:val="both"/>
        <w:rPr>
          <w:rFonts w:ascii="Times New Roman" w:hAnsi="Times New Roman" w:cs="Times New Roman"/>
          <w:sz w:val="20"/>
          <w:szCs w:val="20"/>
        </w:rPr>
      </w:pPr>
      <w:r>
        <w:rPr>
          <w:rFonts w:ascii="Times New Roman" w:hAnsi="Times New Roman" w:cs="Times New Roman"/>
          <w:sz w:val="20"/>
          <w:szCs w:val="20"/>
        </w:rPr>
        <w:t>Graf č. 6</w:t>
      </w:r>
      <w:r w:rsidR="00D37383" w:rsidRPr="001557C5">
        <w:rPr>
          <w:rFonts w:ascii="Times New Roman" w:hAnsi="Times New Roman" w:cs="Times New Roman"/>
          <w:sz w:val="20"/>
          <w:szCs w:val="20"/>
        </w:rPr>
        <w:t xml:space="preserve"> </w:t>
      </w:r>
      <w:r w:rsidR="00D37383">
        <w:rPr>
          <w:rFonts w:ascii="Times New Roman" w:hAnsi="Times New Roman" w:cs="Times New Roman"/>
          <w:sz w:val="20"/>
          <w:szCs w:val="20"/>
        </w:rPr>
        <w:t xml:space="preserve">Vyhľadávanie podľa zahraničných evidenčných čísel vozidla zo strany Príslušníkov PZ v module CBE v 1. polroku 2022 </w:t>
      </w:r>
    </w:p>
    <w:p w14:paraId="0EE1EC05" w14:textId="52CE44CD" w:rsidR="00B54CD8" w:rsidRDefault="00B54CD8" w:rsidP="00650AB0">
      <w:pPr>
        <w:spacing w:line="240" w:lineRule="auto"/>
        <w:ind w:left="708"/>
        <w:jc w:val="center"/>
        <w:rPr>
          <w:rFonts w:ascii="Times New Roman" w:hAnsi="Times New Roman" w:cs="Times New Roman"/>
          <w:sz w:val="20"/>
          <w:szCs w:val="20"/>
        </w:rPr>
      </w:pPr>
      <w:r>
        <w:rPr>
          <w:noProof/>
          <w:lang w:eastAsia="sk-SK"/>
        </w:rPr>
        <w:drawing>
          <wp:inline distT="0" distB="0" distL="0" distR="0" wp14:anchorId="4E325299" wp14:editId="61C49F5C">
            <wp:extent cx="4143375" cy="2609850"/>
            <wp:effectExtent l="0" t="0" r="9525"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8E9EF" w14:textId="77777777" w:rsidR="00B54CD8" w:rsidRDefault="00B54CD8" w:rsidP="00D37383">
      <w:pPr>
        <w:spacing w:line="240" w:lineRule="auto"/>
        <w:ind w:left="708"/>
        <w:jc w:val="both"/>
        <w:rPr>
          <w:rFonts w:ascii="Times New Roman" w:hAnsi="Times New Roman" w:cs="Times New Roman"/>
          <w:sz w:val="20"/>
          <w:szCs w:val="20"/>
        </w:rPr>
      </w:pPr>
    </w:p>
    <w:p w14:paraId="23573EC7" w14:textId="4777FDFD" w:rsidR="00D37383" w:rsidRPr="00650AB0" w:rsidRDefault="00D37383" w:rsidP="00650AB0">
      <w:pPr>
        <w:spacing w:line="240" w:lineRule="auto"/>
        <w:jc w:val="center"/>
        <w:rPr>
          <w:rFonts w:ascii="Times New Roman" w:hAnsi="Times New Roman" w:cs="Times New Roman"/>
          <w:sz w:val="24"/>
          <w:szCs w:val="24"/>
        </w:rPr>
      </w:pPr>
      <w:r>
        <w:rPr>
          <w:rFonts w:ascii="Times New Roman" w:hAnsi="Times New Roman" w:cs="Times New Roman"/>
          <w:sz w:val="20"/>
          <w:szCs w:val="20"/>
        </w:rPr>
        <w:t xml:space="preserve">Zdroj: </w:t>
      </w:r>
      <w:r w:rsidR="00F23FAB">
        <w:rPr>
          <w:rFonts w:ascii="Times New Roman" w:hAnsi="Times New Roman" w:cs="Times New Roman"/>
          <w:sz w:val="20"/>
          <w:szCs w:val="20"/>
        </w:rPr>
        <w:t>Odbor dokladov a evidencií Prezídia Policajného zboru, vlastné spracovanie</w:t>
      </w:r>
    </w:p>
    <w:p w14:paraId="2939CF08" w14:textId="1AB70E40" w:rsidR="00125043" w:rsidRDefault="00125043" w:rsidP="0012504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 období od 1. 1. 2022 do 30. 06. 2022 príslušníci Policajného zboru</w:t>
      </w:r>
      <w:r w:rsidR="002C6156">
        <w:rPr>
          <w:rFonts w:ascii="Times New Roman" w:hAnsi="Times New Roman" w:cs="Times New Roman"/>
          <w:sz w:val="24"/>
          <w:szCs w:val="24"/>
        </w:rPr>
        <w:t xml:space="preserve"> uskutočnili</w:t>
      </w:r>
      <w:r>
        <w:rPr>
          <w:rFonts w:ascii="Times New Roman" w:hAnsi="Times New Roman" w:cs="Times New Roman"/>
          <w:sz w:val="24"/>
          <w:szCs w:val="24"/>
        </w:rPr>
        <w:t xml:space="preserve"> spolu 2</w:t>
      </w:r>
      <w:r w:rsidR="002C6156">
        <w:rPr>
          <w:rFonts w:ascii="Times New Roman" w:hAnsi="Times New Roman" w:cs="Times New Roman"/>
          <w:sz w:val="24"/>
          <w:szCs w:val="24"/>
        </w:rPr>
        <w:t xml:space="preserve"> </w:t>
      </w:r>
      <w:r>
        <w:rPr>
          <w:rFonts w:ascii="Times New Roman" w:hAnsi="Times New Roman" w:cs="Times New Roman"/>
          <w:sz w:val="24"/>
          <w:szCs w:val="24"/>
        </w:rPr>
        <w:t>550 vyhľadávaní zahraničných evidenčných čísel vozidiel v module CBE. Najviac dopravných priestupkov bolo na území Slovenska páchaných zo strany vodičov – nerezidentov (resp. vodičov používajúcich vozidlá registrované v inom členskom štáte) – z Maďarska, Českej republiky, Rakúska, Poľska a Nemecka.</w:t>
      </w:r>
    </w:p>
    <w:p w14:paraId="65E3F03E" w14:textId="23E1E894" w:rsidR="00AD1AE6" w:rsidRDefault="00D56E1A" w:rsidP="00AD1AE6">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AD1AE6">
        <w:rPr>
          <w:rFonts w:ascii="Times New Roman" w:hAnsi="Times New Roman" w:cs="Times New Roman"/>
          <w:sz w:val="24"/>
          <w:szCs w:val="24"/>
        </w:rPr>
        <w:t xml:space="preserve">Na záver je potrebné zdôrazniť, že vyhľadávanie evidenčných čísel vozidla ešte neznamená, že členskému štátu, ktorý začal dopravný priestupok prostredníctvom modulu CBE vyšetrovať, sa podarilo peňažné sankcie za spáchané dopravné priestupky aj úspešne vymôcť. V roku 2019 vyvinula Európska komisia </w:t>
      </w:r>
      <w:r w:rsidR="00AD1AE6" w:rsidRPr="00AD1AE6">
        <w:rPr>
          <w:rFonts w:ascii="Times New Roman" w:hAnsi="Times New Roman" w:cs="Times New Roman"/>
          <w:sz w:val="24"/>
          <w:szCs w:val="24"/>
        </w:rPr>
        <w:t>tzv. Road Map iniciatívu, ktorá umožňovala komukoľvek vyjadriť sa k skúsenostiam s touto smernicou a doplniť tak analýzu, ktorá sa venuje po</w:t>
      </w:r>
      <w:r w:rsidR="00AD1AE6">
        <w:rPr>
          <w:rFonts w:ascii="Times New Roman" w:hAnsi="Times New Roman" w:cs="Times New Roman"/>
          <w:sz w:val="24"/>
          <w:szCs w:val="24"/>
        </w:rPr>
        <w:t xml:space="preserve">súdeniu vplyvu Smernice CBE. </w:t>
      </w:r>
      <w:r w:rsidR="00E9561E">
        <w:rPr>
          <w:rFonts w:ascii="Times New Roman" w:hAnsi="Times New Roman" w:cs="Times New Roman"/>
          <w:sz w:val="24"/>
          <w:szCs w:val="24"/>
        </w:rPr>
        <w:t>V januári 2021 inf</w:t>
      </w:r>
      <w:r w:rsidR="00AD1AE6">
        <w:rPr>
          <w:rFonts w:ascii="Times New Roman" w:hAnsi="Times New Roman" w:cs="Times New Roman"/>
          <w:sz w:val="24"/>
          <w:szCs w:val="24"/>
        </w:rPr>
        <w:t>o</w:t>
      </w:r>
      <w:r w:rsidR="00E9561E">
        <w:rPr>
          <w:rFonts w:ascii="Times New Roman" w:hAnsi="Times New Roman" w:cs="Times New Roman"/>
          <w:sz w:val="24"/>
          <w:szCs w:val="24"/>
        </w:rPr>
        <w:t>r</w:t>
      </w:r>
      <w:r w:rsidR="00AD1AE6">
        <w:rPr>
          <w:rFonts w:ascii="Times New Roman" w:hAnsi="Times New Roman" w:cs="Times New Roman"/>
          <w:sz w:val="24"/>
          <w:szCs w:val="24"/>
        </w:rPr>
        <w:t xml:space="preserve">movala Európska komisia </w:t>
      </w:r>
      <w:r w:rsidR="00E9561E">
        <w:rPr>
          <w:rFonts w:ascii="Times New Roman" w:hAnsi="Times New Roman" w:cs="Times New Roman"/>
          <w:sz w:val="24"/>
          <w:szCs w:val="24"/>
        </w:rPr>
        <w:t xml:space="preserve">(v online konzultácii) </w:t>
      </w:r>
      <w:r w:rsidR="00AD1AE6">
        <w:rPr>
          <w:rFonts w:ascii="Times New Roman" w:hAnsi="Times New Roman" w:cs="Times New Roman"/>
          <w:sz w:val="24"/>
          <w:szCs w:val="24"/>
        </w:rPr>
        <w:t>členské štáty o identifikácii piatich</w:t>
      </w:r>
      <w:r w:rsidR="00AD1AE6" w:rsidRPr="00AD1AE6">
        <w:rPr>
          <w:rFonts w:ascii="Times New Roman" w:hAnsi="Times New Roman" w:cs="Times New Roman"/>
          <w:sz w:val="24"/>
          <w:szCs w:val="24"/>
        </w:rPr>
        <w:t xml:space="preserve"> hlavných problé</w:t>
      </w:r>
      <w:r w:rsidR="00AD1AE6">
        <w:rPr>
          <w:rFonts w:ascii="Times New Roman" w:hAnsi="Times New Roman" w:cs="Times New Roman"/>
          <w:sz w:val="24"/>
          <w:szCs w:val="24"/>
        </w:rPr>
        <w:t>mov, ktorým členské štáty v súvislosti s uplatňovaním Smernice CBE čelia:</w:t>
      </w:r>
    </w:p>
    <w:p w14:paraId="3F7F65E0" w14:textId="7BAA6F69" w:rsidR="00AD1AE6" w:rsidRPr="00AD1AE6" w:rsidRDefault="00AD1AE6" w:rsidP="00AD1AE6">
      <w:pPr>
        <w:pStyle w:val="Odsekzoznamu"/>
        <w:numPr>
          <w:ilvl w:val="0"/>
          <w:numId w:val="9"/>
        </w:numPr>
        <w:spacing w:line="240" w:lineRule="auto"/>
        <w:jc w:val="both"/>
        <w:rPr>
          <w:rFonts w:ascii="Times New Roman" w:hAnsi="Times New Roman" w:cs="Times New Roman"/>
          <w:sz w:val="24"/>
          <w:szCs w:val="24"/>
        </w:rPr>
      </w:pPr>
      <w:r w:rsidRPr="00AD1AE6">
        <w:rPr>
          <w:rFonts w:ascii="Times New Roman" w:hAnsi="Times New Roman" w:cs="Times New Roman"/>
          <w:sz w:val="24"/>
          <w:szCs w:val="24"/>
        </w:rPr>
        <w:t>Dopravné priestupky neboli vyšetrované z dôvodu nezačatia alebo zlyhania vyšetrovania</w:t>
      </w:r>
      <w:r w:rsidR="002C6156">
        <w:rPr>
          <w:rFonts w:ascii="Times New Roman" w:hAnsi="Times New Roman" w:cs="Times New Roman"/>
          <w:sz w:val="24"/>
          <w:szCs w:val="24"/>
        </w:rPr>
        <w:t>.</w:t>
      </w:r>
    </w:p>
    <w:p w14:paraId="15741ED7" w14:textId="5480F7E5" w:rsidR="00AD1AE6" w:rsidRPr="00AD1AE6" w:rsidRDefault="00AD1AE6" w:rsidP="00AD1AE6">
      <w:pPr>
        <w:pStyle w:val="Odsekzoznamu"/>
        <w:numPr>
          <w:ilvl w:val="0"/>
          <w:numId w:val="9"/>
        </w:numPr>
        <w:spacing w:line="240" w:lineRule="auto"/>
        <w:jc w:val="both"/>
        <w:rPr>
          <w:rFonts w:ascii="Times New Roman" w:hAnsi="Times New Roman" w:cs="Times New Roman"/>
          <w:sz w:val="24"/>
          <w:szCs w:val="24"/>
        </w:rPr>
      </w:pPr>
      <w:r w:rsidRPr="00AD1AE6">
        <w:rPr>
          <w:rFonts w:ascii="Times New Roman" w:hAnsi="Times New Roman" w:cs="Times New Roman"/>
          <w:sz w:val="24"/>
          <w:szCs w:val="24"/>
        </w:rPr>
        <w:t>Nedostatočné uznanie rozhodnutí o peňažných sankciách</w:t>
      </w:r>
      <w:r w:rsidR="002C6156">
        <w:rPr>
          <w:rFonts w:ascii="Times New Roman" w:hAnsi="Times New Roman" w:cs="Times New Roman"/>
          <w:sz w:val="24"/>
          <w:szCs w:val="24"/>
        </w:rPr>
        <w:t>.</w:t>
      </w:r>
    </w:p>
    <w:p w14:paraId="22CFD721" w14:textId="72B2E3A1" w:rsidR="00AD1AE6" w:rsidRPr="00AD1AE6" w:rsidRDefault="00AD1AE6" w:rsidP="00AD1AE6">
      <w:pPr>
        <w:pStyle w:val="Odsekzoznamu"/>
        <w:numPr>
          <w:ilvl w:val="0"/>
          <w:numId w:val="9"/>
        </w:numPr>
        <w:spacing w:line="240" w:lineRule="auto"/>
        <w:jc w:val="both"/>
        <w:rPr>
          <w:rFonts w:ascii="Times New Roman" w:hAnsi="Times New Roman" w:cs="Times New Roman"/>
          <w:sz w:val="24"/>
          <w:szCs w:val="24"/>
        </w:rPr>
      </w:pPr>
      <w:r w:rsidRPr="00AD1AE6">
        <w:rPr>
          <w:rFonts w:ascii="Times New Roman" w:hAnsi="Times New Roman" w:cs="Times New Roman"/>
          <w:sz w:val="24"/>
          <w:szCs w:val="24"/>
        </w:rPr>
        <w:t>Porušenie základných práv a právnych zásad v prípadoch cestnej premávky</w:t>
      </w:r>
      <w:r w:rsidR="00E9561E">
        <w:rPr>
          <w:rFonts w:ascii="Times New Roman" w:hAnsi="Times New Roman" w:cs="Times New Roman"/>
          <w:sz w:val="24"/>
          <w:szCs w:val="24"/>
        </w:rPr>
        <w:t xml:space="preserve"> </w:t>
      </w:r>
      <w:r w:rsidRPr="00AD1AE6">
        <w:rPr>
          <w:rFonts w:ascii="Times New Roman" w:hAnsi="Times New Roman" w:cs="Times New Roman"/>
          <w:sz w:val="24"/>
          <w:szCs w:val="24"/>
        </w:rPr>
        <w:t>- v prípade dopravných priestupkov spáchaných nerezidentmi</w:t>
      </w:r>
      <w:r w:rsidR="002C6156">
        <w:rPr>
          <w:rFonts w:ascii="Times New Roman" w:hAnsi="Times New Roman" w:cs="Times New Roman"/>
          <w:sz w:val="24"/>
          <w:szCs w:val="24"/>
        </w:rPr>
        <w:t>.</w:t>
      </w:r>
    </w:p>
    <w:p w14:paraId="0D26DD4B" w14:textId="53D396B7" w:rsidR="00AD1AE6" w:rsidRPr="00AD1AE6" w:rsidRDefault="00AD1AE6" w:rsidP="00AD1AE6">
      <w:pPr>
        <w:pStyle w:val="Odsekzoznamu"/>
        <w:numPr>
          <w:ilvl w:val="0"/>
          <w:numId w:val="9"/>
        </w:numPr>
        <w:spacing w:line="240" w:lineRule="auto"/>
        <w:jc w:val="both"/>
        <w:rPr>
          <w:rFonts w:ascii="Times New Roman" w:hAnsi="Times New Roman" w:cs="Times New Roman"/>
          <w:sz w:val="24"/>
          <w:szCs w:val="24"/>
        </w:rPr>
      </w:pPr>
      <w:r w:rsidRPr="00AD1AE6">
        <w:rPr>
          <w:rFonts w:ascii="Times New Roman" w:hAnsi="Times New Roman" w:cs="Times New Roman"/>
          <w:sz w:val="24"/>
          <w:szCs w:val="24"/>
        </w:rPr>
        <w:t>Nedostatočné informácie na vyhodn</w:t>
      </w:r>
      <w:r w:rsidR="00023B7E">
        <w:rPr>
          <w:rFonts w:ascii="Times New Roman" w:hAnsi="Times New Roman" w:cs="Times New Roman"/>
          <w:sz w:val="24"/>
          <w:szCs w:val="24"/>
        </w:rPr>
        <w:t>otenie účinkov Smernice CBE</w:t>
      </w:r>
      <w:r w:rsidR="002C6156">
        <w:rPr>
          <w:rFonts w:ascii="Times New Roman" w:hAnsi="Times New Roman" w:cs="Times New Roman"/>
          <w:sz w:val="24"/>
          <w:szCs w:val="24"/>
        </w:rPr>
        <w:t>.</w:t>
      </w:r>
      <w:r w:rsidR="00EC2CE3">
        <w:rPr>
          <w:rStyle w:val="Odkaznapoznmkupodiarou"/>
          <w:rFonts w:ascii="Times New Roman" w:hAnsi="Times New Roman" w:cs="Times New Roman"/>
          <w:sz w:val="24"/>
          <w:szCs w:val="24"/>
        </w:rPr>
        <w:footnoteReference w:id="12"/>
      </w:r>
    </w:p>
    <w:p w14:paraId="10AFE6A6" w14:textId="77572B5C" w:rsidR="00E33A69" w:rsidRDefault="00023B7E" w:rsidP="00E33A69">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Priestor na zlepšenie uplatňovania</w:t>
      </w:r>
      <w:r w:rsidR="00A45412">
        <w:rPr>
          <w:rFonts w:ascii="Times New Roman" w:hAnsi="Times New Roman" w:cs="Times New Roman"/>
          <w:b/>
          <w:sz w:val="24"/>
          <w:szCs w:val="24"/>
        </w:rPr>
        <w:t xml:space="preserve"> </w:t>
      </w:r>
      <w:r w:rsidR="00AD1AE6">
        <w:rPr>
          <w:rFonts w:ascii="Times New Roman" w:hAnsi="Times New Roman" w:cs="Times New Roman"/>
          <w:b/>
          <w:sz w:val="24"/>
          <w:szCs w:val="24"/>
        </w:rPr>
        <w:t>Smernice CBE</w:t>
      </w:r>
      <w:r>
        <w:rPr>
          <w:rFonts w:ascii="Times New Roman" w:hAnsi="Times New Roman" w:cs="Times New Roman"/>
          <w:b/>
          <w:sz w:val="24"/>
          <w:szCs w:val="24"/>
        </w:rPr>
        <w:t xml:space="preserve"> – revízia </w:t>
      </w:r>
    </w:p>
    <w:p w14:paraId="6B01D56F" w14:textId="6675B302" w:rsidR="009D0892" w:rsidRDefault="009D0892" w:rsidP="001E47F4">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9D0892">
        <w:rPr>
          <w:rFonts w:ascii="Times New Roman" w:hAnsi="Times New Roman" w:cs="Times New Roman"/>
          <w:sz w:val="24"/>
          <w:szCs w:val="24"/>
        </w:rPr>
        <w:t>V súčasnej dobe (marec 2023)</w:t>
      </w:r>
      <w:r>
        <w:rPr>
          <w:rFonts w:ascii="Times New Roman" w:hAnsi="Times New Roman" w:cs="Times New Roman"/>
          <w:sz w:val="24"/>
          <w:szCs w:val="24"/>
        </w:rPr>
        <w:t xml:space="preserve"> je Smernica CBE</w:t>
      </w:r>
      <w:r w:rsidRPr="009D0892">
        <w:rPr>
          <w:rFonts w:ascii="Times New Roman" w:hAnsi="Times New Roman" w:cs="Times New Roman"/>
          <w:sz w:val="24"/>
          <w:szCs w:val="24"/>
        </w:rPr>
        <w:t xml:space="preserve"> o cezhraničnej </w:t>
      </w:r>
      <w:r>
        <w:rPr>
          <w:rFonts w:ascii="Times New Roman" w:hAnsi="Times New Roman" w:cs="Times New Roman"/>
          <w:sz w:val="24"/>
          <w:szCs w:val="24"/>
        </w:rPr>
        <w:t xml:space="preserve">výmene </w:t>
      </w:r>
      <w:r w:rsidRPr="009D0892">
        <w:rPr>
          <w:rFonts w:ascii="Times New Roman" w:hAnsi="Times New Roman" w:cs="Times New Roman"/>
          <w:sz w:val="24"/>
          <w:szCs w:val="24"/>
        </w:rPr>
        <w:t>súčasťou</w:t>
      </w:r>
      <w:r>
        <w:rPr>
          <w:rFonts w:ascii="Times New Roman" w:hAnsi="Times New Roman" w:cs="Times New Roman"/>
          <w:sz w:val="24"/>
          <w:szCs w:val="24"/>
        </w:rPr>
        <w:t xml:space="preserve"> nedávno zverejneného balíka Európskej komisie</w:t>
      </w:r>
      <w:r w:rsidRPr="009D0892">
        <w:rPr>
          <w:rFonts w:ascii="Times New Roman" w:hAnsi="Times New Roman" w:cs="Times New Roman"/>
          <w:sz w:val="24"/>
          <w:szCs w:val="24"/>
        </w:rPr>
        <w:t xml:space="preserve"> na zvýšenie</w:t>
      </w:r>
      <w:r>
        <w:rPr>
          <w:rFonts w:ascii="Times New Roman" w:hAnsi="Times New Roman" w:cs="Times New Roman"/>
          <w:sz w:val="24"/>
          <w:szCs w:val="24"/>
        </w:rPr>
        <w:t xml:space="preserve"> bezpečnosti cestnej premávky v </w:t>
      </w:r>
      <w:r w:rsidRPr="009D0892">
        <w:rPr>
          <w:rFonts w:ascii="Times New Roman" w:hAnsi="Times New Roman" w:cs="Times New Roman"/>
          <w:sz w:val="24"/>
          <w:szCs w:val="24"/>
        </w:rPr>
        <w:t>EÚ.</w:t>
      </w:r>
      <w:r>
        <w:rPr>
          <w:rFonts w:ascii="Times New Roman" w:hAnsi="Times New Roman" w:cs="Times New Roman"/>
          <w:sz w:val="24"/>
          <w:szCs w:val="24"/>
        </w:rPr>
        <w:t xml:space="preserve"> Orgány EÚ sa snažia upraviť Smernicu CBE tak, aby došlo k zlepšeniu spôsobu vymáhania peňažných sankcií prostredníctvom zriadenia </w:t>
      </w:r>
      <w:r w:rsidR="00E9561E">
        <w:rPr>
          <w:rFonts w:ascii="Times New Roman" w:hAnsi="Times New Roman" w:cs="Times New Roman"/>
          <w:sz w:val="24"/>
          <w:szCs w:val="24"/>
        </w:rPr>
        <w:t>tzv. „</w:t>
      </w:r>
      <w:r>
        <w:rPr>
          <w:rFonts w:ascii="Times New Roman" w:hAnsi="Times New Roman" w:cs="Times New Roman"/>
          <w:sz w:val="24"/>
          <w:szCs w:val="24"/>
        </w:rPr>
        <w:t>P</w:t>
      </w:r>
      <w:r w:rsidRPr="009D0892">
        <w:rPr>
          <w:rFonts w:ascii="Times New Roman" w:hAnsi="Times New Roman" w:cs="Times New Roman"/>
          <w:sz w:val="24"/>
          <w:szCs w:val="24"/>
        </w:rPr>
        <w:t>ortál</w:t>
      </w:r>
      <w:r>
        <w:rPr>
          <w:rFonts w:ascii="Times New Roman" w:hAnsi="Times New Roman" w:cs="Times New Roman"/>
          <w:sz w:val="24"/>
          <w:szCs w:val="24"/>
        </w:rPr>
        <w:t>u</w:t>
      </w:r>
      <w:r w:rsidRPr="009D0892">
        <w:rPr>
          <w:rFonts w:ascii="Times New Roman" w:hAnsi="Times New Roman" w:cs="Times New Roman"/>
          <w:sz w:val="24"/>
          <w:szCs w:val="24"/>
        </w:rPr>
        <w:t xml:space="preserve"> na cezhraničnú výmenu i</w:t>
      </w:r>
      <w:r>
        <w:rPr>
          <w:rFonts w:ascii="Times New Roman" w:hAnsi="Times New Roman" w:cs="Times New Roman"/>
          <w:sz w:val="24"/>
          <w:szCs w:val="24"/>
        </w:rPr>
        <w:t>nformácií o dopravných priestupkoch súvisiacich s bezpečnosťou cestnej premávk</w:t>
      </w:r>
      <w:r w:rsidR="007B70D8">
        <w:rPr>
          <w:rFonts w:ascii="Times New Roman" w:hAnsi="Times New Roman" w:cs="Times New Roman"/>
          <w:sz w:val="24"/>
          <w:szCs w:val="24"/>
        </w:rPr>
        <w:t>y</w:t>
      </w:r>
      <w:r w:rsidR="00E9561E">
        <w:rPr>
          <w:rFonts w:ascii="Times New Roman" w:hAnsi="Times New Roman" w:cs="Times New Roman"/>
          <w:sz w:val="24"/>
          <w:szCs w:val="24"/>
        </w:rPr>
        <w:t>“</w:t>
      </w:r>
      <w:r>
        <w:rPr>
          <w:rFonts w:ascii="Times New Roman" w:hAnsi="Times New Roman" w:cs="Times New Roman"/>
          <w:sz w:val="24"/>
          <w:szCs w:val="24"/>
        </w:rPr>
        <w:t xml:space="preserve">, ktorý by mal umožniť </w:t>
      </w:r>
      <w:r w:rsidR="007B70D8">
        <w:rPr>
          <w:rFonts w:ascii="Times New Roman" w:hAnsi="Times New Roman" w:cs="Times New Roman"/>
          <w:sz w:val="24"/>
          <w:szCs w:val="24"/>
        </w:rPr>
        <w:t xml:space="preserve">občanom EÚ </w:t>
      </w:r>
      <w:r>
        <w:rPr>
          <w:rFonts w:ascii="Times New Roman" w:hAnsi="Times New Roman" w:cs="Times New Roman"/>
          <w:sz w:val="24"/>
          <w:szCs w:val="24"/>
        </w:rPr>
        <w:t xml:space="preserve">verifikáciu autentickosti listu o uložení </w:t>
      </w:r>
      <w:r w:rsidR="007B70D8">
        <w:rPr>
          <w:rFonts w:ascii="Times New Roman" w:hAnsi="Times New Roman" w:cs="Times New Roman"/>
          <w:sz w:val="24"/>
          <w:szCs w:val="24"/>
        </w:rPr>
        <w:t xml:space="preserve">peňažnej </w:t>
      </w:r>
      <w:r>
        <w:rPr>
          <w:rFonts w:ascii="Times New Roman" w:hAnsi="Times New Roman" w:cs="Times New Roman"/>
          <w:sz w:val="24"/>
          <w:szCs w:val="24"/>
        </w:rPr>
        <w:t>pokuty</w:t>
      </w:r>
      <w:r w:rsidR="00E9561E">
        <w:rPr>
          <w:rFonts w:ascii="Times New Roman" w:hAnsi="Times New Roman" w:cs="Times New Roman"/>
          <w:sz w:val="24"/>
          <w:szCs w:val="24"/>
        </w:rPr>
        <w:t xml:space="preserve"> a ktorý by mal zabezpečovať</w:t>
      </w:r>
      <w:r w:rsidR="007B70D8">
        <w:rPr>
          <w:rFonts w:ascii="Times New Roman" w:hAnsi="Times New Roman" w:cs="Times New Roman"/>
          <w:sz w:val="24"/>
          <w:szCs w:val="24"/>
        </w:rPr>
        <w:t xml:space="preserve"> aktívnu interakciu občanov s príslušnými úradmi.</w:t>
      </w:r>
    </w:p>
    <w:p w14:paraId="2CE5C236" w14:textId="36D1B2BB" w:rsidR="00023B7E" w:rsidRPr="007B70D8" w:rsidRDefault="007B70D8" w:rsidP="00E33A69">
      <w:pPr>
        <w:spacing w:line="240" w:lineRule="auto"/>
        <w:jc w:val="both"/>
        <w:rPr>
          <w:rFonts w:ascii="Times New Roman" w:hAnsi="Times New Roman" w:cs="Times New Roman"/>
          <w:sz w:val="24"/>
          <w:szCs w:val="24"/>
        </w:rPr>
      </w:pPr>
      <w:r>
        <w:rPr>
          <w:rFonts w:ascii="Times New Roman" w:hAnsi="Times New Roman" w:cs="Times New Roman"/>
          <w:sz w:val="24"/>
          <w:szCs w:val="24"/>
        </w:rPr>
        <w:tab/>
        <w:t>Okrem iného by sa mali súčasné rokovania k Smernici CBE zaoberať rozšírením jej</w:t>
      </w:r>
      <w:r w:rsidRPr="007B70D8">
        <w:rPr>
          <w:rFonts w:ascii="Times New Roman" w:hAnsi="Times New Roman" w:cs="Times New Roman"/>
          <w:sz w:val="24"/>
          <w:szCs w:val="24"/>
        </w:rPr>
        <w:t xml:space="preserve"> rozs</w:t>
      </w:r>
      <w:r>
        <w:rPr>
          <w:rFonts w:ascii="Times New Roman" w:hAnsi="Times New Roman" w:cs="Times New Roman"/>
          <w:sz w:val="24"/>
          <w:szCs w:val="24"/>
        </w:rPr>
        <w:t>ahu, konkrétne by malo ísť</w:t>
      </w:r>
      <w:r w:rsidRPr="007B70D8">
        <w:rPr>
          <w:rFonts w:ascii="Times New Roman" w:hAnsi="Times New Roman" w:cs="Times New Roman"/>
          <w:sz w:val="24"/>
          <w:szCs w:val="24"/>
        </w:rPr>
        <w:t xml:space="preserve"> o doplnenie nových dopravných priestupkov, ktoré či už priamo, alebo nepriamo súvisia s bezpečnosťou cestnej premávky, napríklad: priestupok nedodržiavania dostatočnej vzdialenosti od vozidla, nebezpečné predbiehanie, nebezpečné parkovanie, prechod cez biely pruh, nerešpektovanie zakázaného prístupu, j</w:t>
      </w:r>
      <w:r>
        <w:rPr>
          <w:rFonts w:ascii="Times New Roman" w:hAnsi="Times New Roman" w:cs="Times New Roman"/>
          <w:sz w:val="24"/>
          <w:szCs w:val="24"/>
        </w:rPr>
        <w:t>azda v nesprávnom pruhu alebo v </w:t>
      </w:r>
      <w:r w:rsidRPr="007B70D8">
        <w:rPr>
          <w:rFonts w:ascii="Times New Roman" w:hAnsi="Times New Roman" w:cs="Times New Roman"/>
          <w:sz w:val="24"/>
          <w:szCs w:val="24"/>
        </w:rPr>
        <w:t>núdzovom jazdnom pruhu, preťažené vozidlo, neplatenie parkov</w:t>
      </w:r>
      <w:r>
        <w:rPr>
          <w:rFonts w:ascii="Times New Roman" w:hAnsi="Times New Roman" w:cs="Times New Roman"/>
          <w:sz w:val="24"/>
          <w:szCs w:val="24"/>
        </w:rPr>
        <w:t>ného, porušenie predpisov o </w:t>
      </w:r>
      <w:r w:rsidRPr="007B70D8">
        <w:rPr>
          <w:rFonts w:ascii="Times New Roman" w:hAnsi="Times New Roman" w:cs="Times New Roman"/>
          <w:sz w:val="24"/>
          <w:szCs w:val="24"/>
        </w:rPr>
        <w:t xml:space="preserve">prístupe k mestským vozidlám a neplatenie poistenia vozidiel. </w:t>
      </w:r>
    </w:p>
    <w:p w14:paraId="74619CD4" w14:textId="7863132D" w:rsidR="00AD1AE6" w:rsidRPr="00023B7E" w:rsidRDefault="00023B7E" w:rsidP="00E33A69">
      <w:pPr>
        <w:spacing w:line="240" w:lineRule="auto"/>
        <w:jc w:val="both"/>
        <w:rPr>
          <w:rFonts w:ascii="Times New Roman" w:hAnsi="Times New Roman" w:cs="Times New Roman"/>
          <w:b/>
          <w:sz w:val="24"/>
          <w:szCs w:val="24"/>
        </w:rPr>
      </w:pPr>
      <w:r w:rsidRPr="00023B7E">
        <w:rPr>
          <w:rFonts w:ascii="Times New Roman" w:hAnsi="Times New Roman" w:cs="Times New Roman"/>
          <w:b/>
          <w:sz w:val="24"/>
          <w:szCs w:val="24"/>
        </w:rPr>
        <w:t>Záver</w:t>
      </w:r>
    </w:p>
    <w:p w14:paraId="0EEF2BED" w14:textId="6B3AA4F8" w:rsidR="007B70D8" w:rsidRPr="007B70D8" w:rsidRDefault="009D0892" w:rsidP="001E47F4">
      <w:pPr>
        <w:spacing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Smernica CBE p</w:t>
      </w:r>
      <w:r w:rsidR="00AD1AE6" w:rsidRPr="00AD1AE6">
        <w:rPr>
          <w:rFonts w:ascii="Times New Roman" w:hAnsi="Times New Roman" w:cs="Times New Roman"/>
          <w:sz w:val="24"/>
          <w:szCs w:val="24"/>
        </w:rPr>
        <w:t>redstavuje zhmot</w:t>
      </w:r>
      <w:r>
        <w:rPr>
          <w:rFonts w:ascii="Times New Roman" w:hAnsi="Times New Roman" w:cs="Times New Roman"/>
          <w:sz w:val="24"/>
          <w:szCs w:val="24"/>
        </w:rPr>
        <w:t xml:space="preserve">nené úsilie EÚ, ktoré má aktívne </w:t>
      </w:r>
      <w:r w:rsidR="007B70D8">
        <w:rPr>
          <w:rFonts w:ascii="Times New Roman" w:hAnsi="Times New Roman" w:cs="Times New Roman"/>
          <w:sz w:val="24"/>
          <w:szCs w:val="24"/>
        </w:rPr>
        <w:t>pôsobiť na </w:t>
      </w:r>
      <w:r w:rsidR="00AD1AE6" w:rsidRPr="00AD1AE6">
        <w:rPr>
          <w:rFonts w:ascii="Times New Roman" w:hAnsi="Times New Roman" w:cs="Times New Roman"/>
          <w:sz w:val="24"/>
          <w:szCs w:val="24"/>
        </w:rPr>
        <w:t>znižovanie po</w:t>
      </w:r>
      <w:r>
        <w:rPr>
          <w:rFonts w:ascii="Times New Roman" w:hAnsi="Times New Roman" w:cs="Times New Roman"/>
          <w:sz w:val="24"/>
          <w:szCs w:val="24"/>
        </w:rPr>
        <w:t>čtov úmrtí na cestách</w:t>
      </w:r>
      <w:r w:rsidR="00263D9A">
        <w:rPr>
          <w:rFonts w:ascii="Times New Roman" w:hAnsi="Times New Roman" w:cs="Times New Roman"/>
          <w:sz w:val="24"/>
          <w:szCs w:val="24"/>
        </w:rPr>
        <w:t xml:space="preserve">. Dalo by sa povedať, že funguje aj </w:t>
      </w:r>
      <w:r w:rsidR="00AD1AE6" w:rsidRPr="00AD1AE6">
        <w:rPr>
          <w:rFonts w:ascii="Times New Roman" w:hAnsi="Times New Roman" w:cs="Times New Roman"/>
          <w:sz w:val="24"/>
          <w:szCs w:val="24"/>
        </w:rPr>
        <w:t>ako preventívne opatrenie voči vodičom</w:t>
      </w:r>
      <w:r w:rsidR="002C6156">
        <w:rPr>
          <w:rFonts w:ascii="Times New Roman" w:hAnsi="Times New Roman" w:cs="Times New Roman"/>
          <w:sz w:val="24"/>
          <w:szCs w:val="24"/>
        </w:rPr>
        <w:t xml:space="preserve"> –</w:t>
      </w:r>
      <w:r w:rsidR="00AD1AE6" w:rsidRPr="00AD1AE6">
        <w:rPr>
          <w:rFonts w:ascii="Times New Roman" w:hAnsi="Times New Roman" w:cs="Times New Roman"/>
          <w:sz w:val="24"/>
          <w:szCs w:val="24"/>
        </w:rPr>
        <w:t xml:space="preserve"> nerezidentom, ktorí</w:t>
      </w:r>
      <w:r w:rsidR="00263D9A">
        <w:rPr>
          <w:rFonts w:ascii="Times New Roman" w:hAnsi="Times New Roman" w:cs="Times New Roman"/>
          <w:sz w:val="24"/>
          <w:szCs w:val="24"/>
        </w:rPr>
        <w:t xml:space="preserve"> by mali byť </w:t>
      </w:r>
      <w:r w:rsidR="00AD1AE6" w:rsidRPr="00AD1AE6">
        <w:rPr>
          <w:rFonts w:ascii="Times New Roman" w:hAnsi="Times New Roman" w:cs="Times New Roman"/>
          <w:sz w:val="24"/>
          <w:szCs w:val="24"/>
        </w:rPr>
        <w:t xml:space="preserve">motivovaní dodržiavať pravidlá cestnej premávky v „hostiteľskej krajine“. </w:t>
      </w:r>
      <w:r w:rsidR="007B70D8" w:rsidRPr="007B70D8">
        <w:rPr>
          <w:rFonts w:ascii="Times New Roman" w:hAnsi="Times New Roman" w:cs="Times New Roman"/>
          <w:sz w:val="24"/>
          <w:szCs w:val="24"/>
        </w:rPr>
        <w:t>Nepodporuje zbytočné a neefektívne administratívne postupy založené na výmene listinných dožiadaní medzi zodpovednými orgánmi členských štátov.</w:t>
      </w:r>
    </w:p>
    <w:p w14:paraId="0874EE41" w14:textId="12E2FBA4" w:rsidR="007B70D8" w:rsidRPr="007B70D8" w:rsidRDefault="007B70D8" w:rsidP="001E47F4">
      <w:pPr>
        <w:spacing w:after="60" w:line="240" w:lineRule="auto"/>
        <w:ind w:firstLine="709"/>
        <w:jc w:val="both"/>
        <w:rPr>
          <w:rFonts w:ascii="Times New Roman" w:hAnsi="Times New Roman" w:cs="Times New Roman"/>
          <w:sz w:val="24"/>
          <w:szCs w:val="24"/>
        </w:rPr>
      </w:pPr>
      <w:r w:rsidRPr="007B70D8">
        <w:rPr>
          <w:rFonts w:ascii="Times New Roman" w:hAnsi="Times New Roman" w:cs="Times New Roman"/>
          <w:sz w:val="24"/>
          <w:szCs w:val="24"/>
        </w:rPr>
        <w:t>Existuje perspektíva, že jej pozitívne účinky na bezpečnosť cestnej premávky môžu byť ešte rozsiahlejšie v</w:t>
      </w:r>
      <w:r>
        <w:rPr>
          <w:rFonts w:ascii="Times New Roman" w:hAnsi="Times New Roman" w:cs="Times New Roman"/>
          <w:sz w:val="24"/>
          <w:szCs w:val="24"/>
        </w:rPr>
        <w:t> </w:t>
      </w:r>
      <w:r w:rsidRPr="007B70D8">
        <w:rPr>
          <w:rFonts w:ascii="Times New Roman" w:hAnsi="Times New Roman" w:cs="Times New Roman"/>
          <w:sz w:val="24"/>
          <w:szCs w:val="24"/>
        </w:rPr>
        <w:t>prípade</w:t>
      </w:r>
      <w:r>
        <w:rPr>
          <w:rFonts w:ascii="Times New Roman" w:hAnsi="Times New Roman" w:cs="Times New Roman"/>
          <w:sz w:val="24"/>
          <w:szCs w:val="24"/>
        </w:rPr>
        <w:t xml:space="preserve"> -</w:t>
      </w:r>
      <w:r w:rsidRPr="007B70D8">
        <w:rPr>
          <w:rFonts w:ascii="Times New Roman" w:hAnsi="Times New Roman" w:cs="Times New Roman"/>
          <w:sz w:val="24"/>
          <w:szCs w:val="24"/>
        </w:rPr>
        <w:t xml:space="preserve"> ak sa počet dopravnýc</w:t>
      </w:r>
      <w:r w:rsidR="00263D9A">
        <w:rPr>
          <w:rFonts w:ascii="Times New Roman" w:hAnsi="Times New Roman" w:cs="Times New Roman"/>
          <w:sz w:val="24"/>
          <w:szCs w:val="24"/>
        </w:rPr>
        <w:t>h priestupkov, ktoré rieši</w:t>
      </w:r>
      <w:r w:rsidR="002C6156">
        <w:rPr>
          <w:rFonts w:ascii="Times New Roman" w:hAnsi="Times New Roman" w:cs="Times New Roman"/>
          <w:sz w:val="24"/>
          <w:szCs w:val="24"/>
        </w:rPr>
        <w:t>,</w:t>
      </w:r>
      <w:r w:rsidR="00263D9A">
        <w:rPr>
          <w:rFonts w:ascii="Times New Roman" w:hAnsi="Times New Roman" w:cs="Times New Roman"/>
          <w:sz w:val="24"/>
          <w:szCs w:val="24"/>
        </w:rPr>
        <w:t xml:space="preserve"> </w:t>
      </w:r>
      <w:r w:rsidRPr="007B70D8">
        <w:rPr>
          <w:rFonts w:ascii="Times New Roman" w:hAnsi="Times New Roman" w:cs="Times New Roman"/>
          <w:sz w:val="24"/>
          <w:szCs w:val="24"/>
        </w:rPr>
        <w:t xml:space="preserve">navýši. </w:t>
      </w:r>
      <w:r w:rsidR="00263D9A">
        <w:rPr>
          <w:rFonts w:ascii="Times New Roman" w:hAnsi="Times New Roman" w:cs="Times New Roman"/>
          <w:sz w:val="24"/>
          <w:szCs w:val="24"/>
        </w:rPr>
        <w:t>Práve h</w:t>
      </w:r>
      <w:r w:rsidRPr="007B70D8">
        <w:rPr>
          <w:rFonts w:ascii="Times New Roman" w:hAnsi="Times New Roman" w:cs="Times New Roman"/>
          <w:sz w:val="24"/>
          <w:szCs w:val="24"/>
        </w:rPr>
        <w:t>armonizáciou dopravných priestupkov v členských štátoch a spôsob</w:t>
      </w:r>
      <w:r w:rsidR="002C6156">
        <w:rPr>
          <w:rFonts w:ascii="Times New Roman" w:hAnsi="Times New Roman" w:cs="Times New Roman"/>
          <w:sz w:val="24"/>
          <w:szCs w:val="24"/>
        </w:rPr>
        <w:t xml:space="preserve">u ich riešenia, resp. trestnosti, </w:t>
      </w:r>
      <w:r w:rsidRPr="007B70D8">
        <w:rPr>
          <w:rFonts w:ascii="Times New Roman" w:hAnsi="Times New Roman" w:cs="Times New Roman"/>
          <w:sz w:val="24"/>
          <w:szCs w:val="24"/>
        </w:rPr>
        <w:t xml:space="preserve">by sa mohol dosiahnuť požadovaný efekt. </w:t>
      </w:r>
    </w:p>
    <w:p w14:paraId="507D4C36" w14:textId="025632F7" w:rsidR="00263D9A" w:rsidRDefault="002C6156" w:rsidP="001E47F4">
      <w:pPr>
        <w:spacing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Pokiaľ ide o</w:t>
      </w:r>
      <w:r w:rsidR="007B70D8" w:rsidRPr="007B70D8">
        <w:rPr>
          <w:rFonts w:ascii="Times New Roman" w:hAnsi="Times New Roman" w:cs="Times New Roman"/>
          <w:sz w:val="24"/>
          <w:szCs w:val="24"/>
        </w:rPr>
        <w:t xml:space="preserve"> praktick</w:t>
      </w:r>
      <w:r>
        <w:rPr>
          <w:rFonts w:ascii="Times New Roman" w:hAnsi="Times New Roman" w:cs="Times New Roman"/>
          <w:sz w:val="24"/>
          <w:szCs w:val="24"/>
        </w:rPr>
        <w:t>ú</w:t>
      </w:r>
      <w:r w:rsidR="007B70D8" w:rsidRPr="007B70D8">
        <w:rPr>
          <w:rFonts w:ascii="Times New Roman" w:hAnsi="Times New Roman" w:cs="Times New Roman"/>
          <w:sz w:val="24"/>
          <w:szCs w:val="24"/>
        </w:rPr>
        <w:t xml:space="preserve"> apliká</w:t>
      </w:r>
      <w:r w:rsidR="007B70D8">
        <w:rPr>
          <w:rFonts w:ascii="Times New Roman" w:hAnsi="Times New Roman" w:cs="Times New Roman"/>
          <w:sz w:val="24"/>
          <w:szCs w:val="24"/>
        </w:rPr>
        <w:t>ci</w:t>
      </w:r>
      <w:r>
        <w:rPr>
          <w:rFonts w:ascii="Times New Roman" w:hAnsi="Times New Roman" w:cs="Times New Roman"/>
          <w:sz w:val="24"/>
          <w:szCs w:val="24"/>
        </w:rPr>
        <w:t>u</w:t>
      </w:r>
      <w:r w:rsidR="007B70D8">
        <w:rPr>
          <w:rFonts w:ascii="Times New Roman" w:hAnsi="Times New Roman" w:cs="Times New Roman"/>
          <w:sz w:val="24"/>
          <w:szCs w:val="24"/>
        </w:rPr>
        <w:t xml:space="preserve"> ustanovení Smernice CBE, konkrétne úspešného vymáhania peňažných</w:t>
      </w:r>
      <w:r w:rsidR="007B70D8" w:rsidRPr="007B70D8">
        <w:rPr>
          <w:rFonts w:ascii="Times New Roman" w:hAnsi="Times New Roman" w:cs="Times New Roman"/>
          <w:sz w:val="24"/>
          <w:szCs w:val="24"/>
        </w:rPr>
        <w:t xml:space="preserve"> sankcií z</w:t>
      </w:r>
      <w:r w:rsidR="007B70D8">
        <w:rPr>
          <w:rFonts w:ascii="Times New Roman" w:hAnsi="Times New Roman" w:cs="Times New Roman"/>
          <w:sz w:val="24"/>
          <w:szCs w:val="24"/>
        </w:rPr>
        <w:t xml:space="preserve">a dopravné priestupky, </w:t>
      </w:r>
      <w:r w:rsidR="00263D9A">
        <w:rPr>
          <w:rFonts w:ascii="Times New Roman" w:hAnsi="Times New Roman" w:cs="Times New Roman"/>
          <w:sz w:val="24"/>
          <w:szCs w:val="24"/>
        </w:rPr>
        <w:t xml:space="preserve">mala </w:t>
      </w:r>
      <w:r>
        <w:rPr>
          <w:rFonts w:ascii="Times New Roman" w:hAnsi="Times New Roman" w:cs="Times New Roman"/>
          <w:sz w:val="24"/>
          <w:szCs w:val="24"/>
        </w:rPr>
        <w:t xml:space="preserve">by </w:t>
      </w:r>
      <w:r w:rsidR="00263D9A">
        <w:rPr>
          <w:rFonts w:ascii="Times New Roman" w:hAnsi="Times New Roman" w:cs="Times New Roman"/>
          <w:sz w:val="24"/>
          <w:szCs w:val="24"/>
        </w:rPr>
        <w:t>byť zharmonizovaná pod </w:t>
      </w:r>
      <w:r w:rsidR="007B70D8" w:rsidRPr="007B70D8">
        <w:rPr>
          <w:rFonts w:ascii="Times New Roman" w:hAnsi="Times New Roman" w:cs="Times New Roman"/>
          <w:sz w:val="24"/>
          <w:szCs w:val="24"/>
        </w:rPr>
        <w:t xml:space="preserve">taktovkou EÚ prostredníctvom </w:t>
      </w:r>
      <w:r w:rsidR="007B70D8">
        <w:rPr>
          <w:rFonts w:ascii="Times New Roman" w:hAnsi="Times New Roman" w:cs="Times New Roman"/>
          <w:sz w:val="24"/>
          <w:szCs w:val="24"/>
        </w:rPr>
        <w:t xml:space="preserve">prebiehajúcich rokovaní v Rade EÚ pre pozemnú dopravu. </w:t>
      </w:r>
    </w:p>
    <w:p w14:paraId="08E4EE36" w14:textId="3FEDDB23" w:rsidR="007B70D8" w:rsidRPr="007B70D8" w:rsidRDefault="007B70D8" w:rsidP="001E47F4">
      <w:pPr>
        <w:spacing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V </w:t>
      </w:r>
      <w:r w:rsidRPr="007B70D8">
        <w:rPr>
          <w:rFonts w:ascii="Times New Roman" w:hAnsi="Times New Roman" w:cs="Times New Roman"/>
          <w:sz w:val="24"/>
          <w:szCs w:val="24"/>
        </w:rPr>
        <w:t>momentálnej fáze je dôležité, že orgány EÚ identifikujú konkrétne problémy členských štátov s uplatňovaním Smern</w:t>
      </w:r>
      <w:r>
        <w:rPr>
          <w:rFonts w:ascii="Times New Roman" w:hAnsi="Times New Roman" w:cs="Times New Roman"/>
          <w:sz w:val="24"/>
          <w:szCs w:val="24"/>
        </w:rPr>
        <w:t>ice CBE</w:t>
      </w:r>
      <w:r w:rsidRPr="007B70D8">
        <w:rPr>
          <w:rFonts w:ascii="Times New Roman" w:hAnsi="Times New Roman" w:cs="Times New Roman"/>
          <w:sz w:val="24"/>
          <w:szCs w:val="24"/>
        </w:rPr>
        <w:t xml:space="preserve"> a </w:t>
      </w:r>
      <w:r w:rsidR="00263D9A">
        <w:rPr>
          <w:rFonts w:ascii="Times New Roman" w:hAnsi="Times New Roman" w:cs="Times New Roman"/>
          <w:sz w:val="24"/>
          <w:szCs w:val="24"/>
        </w:rPr>
        <w:t>ich riešenie je v procese riešenia</w:t>
      </w:r>
      <w:r w:rsidRPr="007B70D8">
        <w:rPr>
          <w:rFonts w:ascii="Times New Roman" w:hAnsi="Times New Roman" w:cs="Times New Roman"/>
          <w:sz w:val="24"/>
          <w:szCs w:val="24"/>
        </w:rPr>
        <w:t>. Až te</w:t>
      </w:r>
      <w:r>
        <w:rPr>
          <w:rFonts w:ascii="Times New Roman" w:hAnsi="Times New Roman" w:cs="Times New Roman"/>
          <w:sz w:val="24"/>
          <w:szCs w:val="24"/>
        </w:rPr>
        <w:t>xt revidovanej Smernice CBE</w:t>
      </w:r>
      <w:r w:rsidRPr="007B70D8">
        <w:rPr>
          <w:rFonts w:ascii="Times New Roman" w:hAnsi="Times New Roman" w:cs="Times New Roman"/>
          <w:sz w:val="24"/>
          <w:szCs w:val="24"/>
        </w:rPr>
        <w:t xml:space="preserve"> odhalí</w:t>
      </w:r>
      <w:r w:rsidR="002C6156">
        <w:rPr>
          <w:rFonts w:ascii="Times New Roman" w:hAnsi="Times New Roman" w:cs="Times New Roman"/>
          <w:sz w:val="24"/>
          <w:szCs w:val="24"/>
        </w:rPr>
        <w:t>,</w:t>
      </w:r>
      <w:r w:rsidRPr="007B70D8">
        <w:rPr>
          <w:rFonts w:ascii="Times New Roman" w:hAnsi="Times New Roman" w:cs="Times New Roman"/>
          <w:sz w:val="24"/>
          <w:szCs w:val="24"/>
        </w:rPr>
        <w:t xml:space="preserve"> ako sa orgány EÚ vysporiadali s množstvom pripomienok </w:t>
      </w:r>
      <w:r w:rsidR="00263D9A">
        <w:rPr>
          <w:rFonts w:ascii="Times New Roman" w:hAnsi="Times New Roman" w:cs="Times New Roman"/>
          <w:sz w:val="24"/>
          <w:szCs w:val="24"/>
        </w:rPr>
        <w:t xml:space="preserve">vznesených </w:t>
      </w:r>
      <w:r w:rsidRPr="007B70D8">
        <w:rPr>
          <w:rFonts w:ascii="Times New Roman" w:hAnsi="Times New Roman" w:cs="Times New Roman"/>
          <w:sz w:val="24"/>
          <w:szCs w:val="24"/>
        </w:rPr>
        <w:t>zo strany členských štátov.</w:t>
      </w:r>
    </w:p>
    <w:p w14:paraId="519342BE" w14:textId="00C02183" w:rsidR="007B70D8" w:rsidRPr="007B70D8" w:rsidRDefault="007B70D8" w:rsidP="001E47F4">
      <w:pPr>
        <w:spacing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Revidovaná Smernica CBE</w:t>
      </w:r>
      <w:r w:rsidR="00263D9A">
        <w:rPr>
          <w:rFonts w:ascii="Times New Roman" w:hAnsi="Times New Roman" w:cs="Times New Roman"/>
          <w:sz w:val="24"/>
          <w:szCs w:val="24"/>
        </w:rPr>
        <w:t xml:space="preserve"> by mala</w:t>
      </w:r>
      <w:r w:rsidRPr="007B70D8">
        <w:rPr>
          <w:rFonts w:ascii="Times New Roman" w:hAnsi="Times New Roman" w:cs="Times New Roman"/>
          <w:sz w:val="24"/>
          <w:szCs w:val="24"/>
        </w:rPr>
        <w:t xml:space="preserve"> maximalizovať svoj potenciál v rámci cieľa zlepšiť bezpečnosť cestnej premávky vďaka vyššej miere dodržiavania platných pravidiel cestnej premávky zo strany účastníkov cestnej premávky, ktorí nemajú v pobyt v príslušnom členskom štáte prostredníctvom zavedenia celostného prístupu tak</w:t>
      </w:r>
      <w:r w:rsidR="002C6156">
        <w:rPr>
          <w:rFonts w:ascii="Times New Roman" w:hAnsi="Times New Roman" w:cs="Times New Roman"/>
          <w:sz w:val="24"/>
          <w:szCs w:val="24"/>
        </w:rPr>
        <w:t>,</w:t>
      </w:r>
      <w:r w:rsidRPr="007B70D8">
        <w:rPr>
          <w:rFonts w:ascii="Times New Roman" w:hAnsi="Times New Roman" w:cs="Times New Roman"/>
          <w:sz w:val="24"/>
          <w:szCs w:val="24"/>
        </w:rPr>
        <w:t xml:space="preserve"> aby vznikli synergie s ostatnými nástrojmi, konkrétne tými, ktoré sa týkajú vzájomnej pomoci a spolupráce medzi členskými štátmi pri vyšetrovaní dopravných deliktov a vzájomného uznávania peňažných sankcií.</w:t>
      </w:r>
    </w:p>
    <w:p w14:paraId="7B9F9377" w14:textId="6EE39BA7" w:rsidR="00AD1AE6" w:rsidRPr="00AD1AE6" w:rsidRDefault="007B70D8" w:rsidP="007B70D8">
      <w:pPr>
        <w:spacing w:line="240" w:lineRule="auto"/>
        <w:ind w:firstLine="708"/>
        <w:jc w:val="both"/>
        <w:rPr>
          <w:rFonts w:ascii="Times New Roman" w:hAnsi="Times New Roman" w:cs="Times New Roman"/>
          <w:sz w:val="24"/>
          <w:szCs w:val="24"/>
        </w:rPr>
      </w:pPr>
      <w:r w:rsidRPr="007B70D8">
        <w:rPr>
          <w:rFonts w:ascii="Times New Roman" w:hAnsi="Times New Roman" w:cs="Times New Roman"/>
          <w:sz w:val="24"/>
          <w:szCs w:val="24"/>
        </w:rPr>
        <w:t>Je zrejmé, že oblasť problematiky dopravných priestupkov sa posunula s riešeniami výrazne dopredu, avšak je naďalej žiad</w:t>
      </w:r>
      <w:r w:rsidR="002C6156">
        <w:rPr>
          <w:rFonts w:ascii="Times New Roman" w:hAnsi="Times New Roman" w:cs="Times New Roman"/>
          <w:sz w:val="24"/>
          <w:szCs w:val="24"/>
        </w:rPr>
        <w:t>u</w:t>
      </w:r>
      <w:r w:rsidRPr="007B70D8">
        <w:rPr>
          <w:rFonts w:ascii="Times New Roman" w:hAnsi="Times New Roman" w:cs="Times New Roman"/>
          <w:sz w:val="24"/>
          <w:szCs w:val="24"/>
        </w:rPr>
        <w:t xml:space="preserve">ce, aby sa rad </w:t>
      </w:r>
      <w:r>
        <w:rPr>
          <w:rFonts w:ascii="Times New Roman" w:hAnsi="Times New Roman" w:cs="Times New Roman"/>
          <w:sz w:val="24"/>
          <w:szCs w:val="24"/>
        </w:rPr>
        <w:t>zlepšení a opatrení vzhľadom na </w:t>
      </w:r>
      <w:r w:rsidRPr="007B70D8">
        <w:rPr>
          <w:rFonts w:ascii="Times New Roman" w:hAnsi="Times New Roman" w:cs="Times New Roman"/>
          <w:sz w:val="24"/>
          <w:szCs w:val="24"/>
        </w:rPr>
        <w:t>technologický vývoj vozidiel a dopravnej infraštruktúry neustále zodpovedne a adekvátne vyvíjal</w:t>
      </w:r>
      <w:r w:rsidR="002C6156">
        <w:rPr>
          <w:rFonts w:ascii="Times New Roman" w:hAnsi="Times New Roman" w:cs="Times New Roman"/>
          <w:sz w:val="24"/>
          <w:szCs w:val="24"/>
        </w:rPr>
        <w:t>,</w:t>
      </w:r>
      <w:r w:rsidRPr="007B70D8">
        <w:rPr>
          <w:rFonts w:ascii="Times New Roman" w:hAnsi="Times New Roman" w:cs="Times New Roman"/>
          <w:sz w:val="24"/>
          <w:szCs w:val="24"/>
        </w:rPr>
        <w:t xml:space="preserve"> a to najmä koordináciou a usmerňovaním zo strany orgánov EÚ.</w:t>
      </w:r>
    </w:p>
    <w:p w14:paraId="2A734BD5" w14:textId="57419B50" w:rsidR="00A66747" w:rsidRDefault="002C6156" w:rsidP="002C6156">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Zoznam bibliografických odkazov</w:t>
      </w:r>
    </w:p>
    <w:p w14:paraId="19D094B9" w14:textId="71E63720" w:rsidR="003A2D2B" w:rsidRPr="003A2D2B" w:rsidRDefault="003A2D2B" w:rsidP="003A2D2B">
      <w:pPr>
        <w:spacing w:after="0"/>
        <w:jc w:val="both"/>
        <w:rPr>
          <w:rFonts w:ascii="Times New Roman" w:hAnsi="Times New Roman" w:cs="Times New Roman"/>
          <w:bCs/>
          <w:sz w:val="24"/>
          <w:szCs w:val="24"/>
        </w:rPr>
      </w:pPr>
    </w:p>
    <w:p w14:paraId="7D027D03" w14:textId="0AF024EE" w:rsidR="00161E2D" w:rsidRPr="002C6156" w:rsidRDefault="00161E2D" w:rsidP="00161E2D">
      <w:pPr>
        <w:pStyle w:val="Textpoznmkypodiarou"/>
        <w:spacing w:after="60"/>
        <w:ind w:left="425" w:hanging="425"/>
        <w:jc w:val="both"/>
        <w:rPr>
          <w:rFonts w:ascii="Times New Roman" w:hAnsi="Times New Roman" w:cs="Times New Roman"/>
          <w:sz w:val="24"/>
          <w:szCs w:val="24"/>
        </w:rPr>
      </w:pPr>
      <w:r w:rsidRPr="003A2D2B">
        <w:rPr>
          <w:rFonts w:ascii="Times New Roman" w:hAnsi="Times New Roman" w:cs="Times New Roman"/>
          <w:sz w:val="24"/>
          <w:szCs w:val="24"/>
        </w:rPr>
        <w:t xml:space="preserve">Bulletin Odboru dokumentácie, </w:t>
      </w:r>
      <w:proofErr w:type="spellStart"/>
      <w:r w:rsidRPr="003A2D2B">
        <w:rPr>
          <w:rFonts w:ascii="Times New Roman" w:hAnsi="Times New Roman" w:cs="Times New Roman"/>
          <w:sz w:val="24"/>
          <w:szCs w:val="24"/>
        </w:rPr>
        <w:t>analytiky</w:t>
      </w:r>
      <w:proofErr w:type="spellEnd"/>
      <w:r w:rsidRPr="003A2D2B">
        <w:rPr>
          <w:rFonts w:ascii="Times New Roman" w:hAnsi="Times New Roman" w:cs="Times New Roman"/>
          <w:sz w:val="24"/>
          <w:szCs w:val="24"/>
        </w:rPr>
        <w:t xml:space="preserve"> a zahraničných vzťahov Najvyššieho súdu Slovenskej republiky. 2014  [cit. 22. 03. 2023] Dostupné na internete:  </w:t>
      </w:r>
      <w:r w:rsidRPr="002C6156">
        <w:rPr>
          <w:rFonts w:ascii="Times New Roman" w:hAnsi="Times New Roman" w:cs="Times New Roman"/>
          <w:sz w:val="24"/>
          <w:szCs w:val="24"/>
        </w:rPr>
        <w:t>&lt;</w:t>
      </w:r>
      <w:hyperlink r:id="rId15" w:history="1">
        <w:r w:rsidRPr="002C6156">
          <w:rPr>
            <w:rStyle w:val="Hypertextovprepojenie"/>
            <w:rFonts w:ascii="Times New Roman" w:hAnsi="Times New Roman" w:cs="Times New Roman"/>
            <w:color w:val="auto"/>
            <w:sz w:val="24"/>
            <w:szCs w:val="24"/>
            <w:u w:val="none"/>
          </w:rPr>
          <w:t>https://www.nsud.sk/data/att/67d/69127.085474.pdf</w:t>
        </w:r>
      </w:hyperlink>
      <w:r w:rsidRPr="002C6156">
        <w:rPr>
          <w:rFonts w:ascii="Times New Roman" w:hAnsi="Times New Roman" w:cs="Times New Roman"/>
          <w:sz w:val="24"/>
          <w:szCs w:val="24"/>
        </w:rPr>
        <w:t>&gt;</w:t>
      </w:r>
      <w:r w:rsidR="002C6156">
        <w:rPr>
          <w:rFonts w:ascii="Times New Roman" w:hAnsi="Times New Roman" w:cs="Times New Roman"/>
          <w:sz w:val="24"/>
          <w:szCs w:val="24"/>
        </w:rPr>
        <w:t>.</w:t>
      </w:r>
    </w:p>
    <w:p w14:paraId="6382D15A" w14:textId="39C58246" w:rsidR="00161E2D" w:rsidRPr="002C6156" w:rsidRDefault="00161E2D" w:rsidP="00161E2D">
      <w:pPr>
        <w:pStyle w:val="Textpoznmkypodiarou"/>
        <w:spacing w:after="60"/>
        <w:ind w:left="425" w:hanging="425"/>
        <w:jc w:val="both"/>
        <w:rPr>
          <w:rFonts w:ascii="Times New Roman" w:hAnsi="Times New Roman" w:cs="Times New Roman"/>
          <w:sz w:val="24"/>
          <w:szCs w:val="24"/>
        </w:rPr>
      </w:pPr>
      <w:proofErr w:type="spellStart"/>
      <w:r w:rsidRPr="003A2D2B">
        <w:rPr>
          <w:rFonts w:ascii="Times New Roman" w:hAnsi="Times New Roman" w:cs="Times New Roman"/>
          <w:sz w:val="24"/>
          <w:szCs w:val="24"/>
        </w:rPr>
        <w:t>Communication</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from</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the</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Commission</w:t>
      </w:r>
      <w:proofErr w:type="spellEnd"/>
      <w:r w:rsidRPr="003A2D2B">
        <w:rPr>
          <w:rFonts w:ascii="Times New Roman" w:hAnsi="Times New Roman" w:cs="Times New Roman"/>
          <w:sz w:val="24"/>
          <w:szCs w:val="24"/>
        </w:rPr>
        <w:t xml:space="preserve"> to </w:t>
      </w:r>
      <w:proofErr w:type="spellStart"/>
      <w:r w:rsidRPr="003A2D2B">
        <w:rPr>
          <w:rFonts w:ascii="Times New Roman" w:hAnsi="Times New Roman" w:cs="Times New Roman"/>
          <w:sz w:val="24"/>
          <w:szCs w:val="24"/>
        </w:rPr>
        <w:t>the</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European</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Parliament</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the</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Council</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the</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European</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Economic</w:t>
      </w:r>
      <w:proofErr w:type="spellEnd"/>
      <w:r w:rsidRPr="003A2D2B">
        <w:rPr>
          <w:rFonts w:ascii="Times New Roman" w:hAnsi="Times New Roman" w:cs="Times New Roman"/>
          <w:sz w:val="24"/>
          <w:szCs w:val="24"/>
        </w:rPr>
        <w:t xml:space="preserve"> and </w:t>
      </w:r>
      <w:proofErr w:type="spellStart"/>
      <w:r w:rsidRPr="003A2D2B">
        <w:rPr>
          <w:rFonts w:ascii="Times New Roman" w:hAnsi="Times New Roman" w:cs="Times New Roman"/>
          <w:sz w:val="24"/>
          <w:szCs w:val="24"/>
        </w:rPr>
        <w:t>Social</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Committee</w:t>
      </w:r>
      <w:proofErr w:type="spellEnd"/>
      <w:r w:rsidRPr="003A2D2B">
        <w:rPr>
          <w:rFonts w:ascii="Times New Roman" w:hAnsi="Times New Roman" w:cs="Times New Roman"/>
          <w:sz w:val="24"/>
          <w:szCs w:val="24"/>
        </w:rPr>
        <w:t xml:space="preserve"> and </w:t>
      </w:r>
      <w:proofErr w:type="spellStart"/>
      <w:r w:rsidRPr="003A2D2B">
        <w:rPr>
          <w:rFonts w:ascii="Times New Roman" w:hAnsi="Times New Roman" w:cs="Times New Roman"/>
          <w:sz w:val="24"/>
          <w:szCs w:val="24"/>
        </w:rPr>
        <w:t>the</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Committee</w:t>
      </w:r>
      <w:proofErr w:type="spellEnd"/>
      <w:r w:rsidRPr="003A2D2B">
        <w:rPr>
          <w:rFonts w:ascii="Times New Roman" w:hAnsi="Times New Roman" w:cs="Times New Roman"/>
          <w:sz w:val="24"/>
          <w:szCs w:val="24"/>
        </w:rPr>
        <w:t xml:space="preserve"> of </w:t>
      </w:r>
      <w:proofErr w:type="spellStart"/>
      <w:r w:rsidRPr="003A2D2B">
        <w:rPr>
          <w:rFonts w:ascii="Times New Roman" w:hAnsi="Times New Roman" w:cs="Times New Roman"/>
          <w:sz w:val="24"/>
          <w:szCs w:val="24"/>
        </w:rPr>
        <w:t>the</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Region</w:t>
      </w:r>
      <w:proofErr w:type="spellEnd"/>
      <w:r w:rsidRPr="003A2D2B">
        <w:rPr>
          <w:rFonts w:ascii="Times New Roman" w:hAnsi="Times New Roman" w:cs="Times New Roman"/>
          <w:sz w:val="24"/>
          <w:szCs w:val="24"/>
        </w:rPr>
        <w:t xml:space="preserve">.  Máj 2018  [cit. 22. 03. 2023] Dostupné na internete:  </w:t>
      </w:r>
      <w:r w:rsidRPr="002C6156">
        <w:rPr>
          <w:rFonts w:ascii="Times New Roman" w:hAnsi="Times New Roman" w:cs="Times New Roman"/>
          <w:sz w:val="24"/>
          <w:szCs w:val="24"/>
        </w:rPr>
        <w:t>&lt;</w:t>
      </w:r>
      <w:hyperlink r:id="rId16" w:history="1">
        <w:r w:rsidRPr="002C6156">
          <w:rPr>
            <w:rStyle w:val="Hypertextovprepojenie"/>
            <w:rFonts w:ascii="Times New Roman" w:hAnsi="Times New Roman" w:cs="Times New Roman"/>
            <w:color w:val="auto"/>
            <w:sz w:val="24"/>
            <w:szCs w:val="24"/>
            <w:u w:val="none"/>
          </w:rPr>
          <w:t>https://eur-lex.europa.eu/resource.html?uri=cellar%3A0e8b694e-59b5-11e8-ab41-01aa75ed71a1.0003.02/DOC_1&amp;format=PDF</w:t>
        </w:r>
      </w:hyperlink>
      <w:r w:rsidRPr="002C6156">
        <w:rPr>
          <w:rFonts w:ascii="Times New Roman" w:hAnsi="Times New Roman" w:cs="Times New Roman"/>
          <w:sz w:val="24"/>
          <w:szCs w:val="24"/>
        </w:rPr>
        <w:t>&gt;</w:t>
      </w:r>
      <w:r w:rsidR="002C6156">
        <w:rPr>
          <w:rFonts w:ascii="Times New Roman" w:hAnsi="Times New Roman" w:cs="Times New Roman"/>
          <w:sz w:val="24"/>
          <w:szCs w:val="24"/>
        </w:rPr>
        <w:t>.</w:t>
      </w:r>
    </w:p>
    <w:p w14:paraId="2CA64DE0" w14:textId="692379AA" w:rsidR="00161E2D" w:rsidRPr="002C6156" w:rsidRDefault="00161E2D" w:rsidP="00161E2D">
      <w:pPr>
        <w:pStyle w:val="Textpoznmkypodiarou"/>
        <w:spacing w:after="60"/>
        <w:ind w:left="425" w:hanging="425"/>
        <w:jc w:val="both"/>
        <w:rPr>
          <w:rFonts w:ascii="Times New Roman" w:hAnsi="Times New Roman" w:cs="Times New Roman"/>
          <w:sz w:val="24"/>
          <w:szCs w:val="24"/>
        </w:rPr>
      </w:pPr>
      <w:r w:rsidRPr="003A2D2B">
        <w:rPr>
          <w:rFonts w:ascii="Times New Roman" w:hAnsi="Times New Roman" w:cs="Times New Roman"/>
          <w:sz w:val="24"/>
          <w:szCs w:val="24"/>
        </w:rPr>
        <w:t xml:space="preserve">Rámec politiky EÚ pre bezpečnosť cestnej premávky na roky 2021 – 2030 - odporúčania týkajúce sa ďalších krokov smerom k „vízii nulovej úmrtnosti na cestách“. Október 2021  [cit. 22. 03. 2023] Dostupné na internete: </w:t>
      </w:r>
      <w:r w:rsidRPr="002C6156">
        <w:rPr>
          <w:rFonts w:ascii="Times New Roman" w:hAnsi="Times New Roman" w:cs="Times New Roman"/>
          <w:sz w:val="24"/>
          <w:szCs w:val="24"/>
        </w:rPr>
        <w:t>&lt;</w:t>
      </w:r>
      <w:hyperlink r:id="rId17" w:history="1">
        <w:r w:rsidRPr="002C6156">
          <w:rPr>
            <w:rStyle w:val="Hypertextovprepojenie"/>
            <w:rFonts w:ascii="Times New Roman" w:hAnsi="Times New Roman" w:cs="Times New Roman"/>
            <w:color w:val="auto"/>
            <w:sz w:val="24"/>
            <w:szCs w:val="24"/>
            <w:u w:val="none"/>
          </w:rPr>
          <w:t>https://www.europarl.europa.eu/doceo/document/TA-9-2021-0407_SK.html</w:t>
        </w:r>
      </w:hyperlink>
      <w:r w:rsidRPr="002C6156">
        <w:rPr>
          <w:rFonts w:ascii="Times New Roman" w:hAnsi="Times New Roman" w:cs="Times New Roman"/>
          <w:sz w:val="24"/>
          <w:szCs w:val="24"/>
        </w:rPr>
        <w:t>&gt;</w:t>
      </w:r>
      <w:r w:rsidR="002C6156">
        <w:rPr>
          <w:rFonts w:ascii="Times New Roman" w:hAnsi="Times New Roman" w:cs="Times New Roman"/>
          <w:sz w:val="24"/>
          <w:szCs w:val="24"/>
        </w:rPr>
        <w:t>.</w:t>
      </w:r>
    </w:p>
    <w:p w14:paraId="638B4910" w14:textId="10FF5E7B" w:rsidR="001E47F4" w:rsidRPr="002C6156" w:rsidRDefault="00161E2D" w:rsidP="001E47F4">
      <w:pPr>
        <w:pStyle w:val="Textpoznmkypodiarou"/>
        <w:spacing w:after="60"/>
        <w:ind w:left="425" w:hanging="425"/>
        <w:jc w:val="both"/>
        <w:rPr>
          <w:rFonts w:ascii="Times New Roman" w:hAnsi="Times New Roman" w:cs="Times New Roman"/>
          <w:sz w:val="24"/>
          <w:szCs w:val="24"/>
        </w:rPr>
      </w:pPr>
      <w:proofErr w:type="spellStart"/>
      <w:r w:rsidRPr="00161E2D">
        <w:rPr>
          <w:rFonts w:ascii="Times New Roman" w:hAnsi="Times New Roman" w:cs="Times New Roman"/>
          <w:sz w:val="24"/>
          <w:szCs w:val="24"/>
        </w:rPr>
        <w:t>Revision</w:t>
      </w:r>
      <w:proofErr w:type="spellEnd"/>
      <w:r w:rsidRPr="00161E2D">
        <w:rPr>
          <w:rFonts w:ascii="Times New Roman" w:hAnsi="Times New Roman" w:cs="Times New Roman"/>
          <w:sz w:val="24"/>
          <w:szCs w:val="24"/>
        </w:rPr>
        <w:t xml:space="preserve"> of </w:t>
      </w:r>
      <w:proofErr w:type="spellStart"/>
      <w:r w:rsidRPr="00161E2D">
        <w:rPr>
          <w:rFonts w:ascii="Times New Roman" w:hAnsi="Times New Roman" w:cs="Times New Roman"/>
          <w:sz w:val="24"/>
          <w:szCs w:val="24"/>
        </w:rPr>
        <w:t>Directive</w:t>
      </w:r>
      <w:proofErr w:type="spellEnd"/>
      <w:r w:rsidRPr="00161E2D">
        <w:rPr>
          <w:rFonts w:ascii="Times New Roman" w:hAnsi="Times New Roman" w:cs="Times New Roman"/>
          <w:sz w:val="24"/>
          <w:szCs w:val="24"/>
        </w:rPr>
        <w:t xml:space="preserve"> on </w:t>
      </w:r>
      <w:proofErr w:type="spellStart"/>
      <w:r w:rsidRPr="00161E2D">
        <w:rPr>
          <w:rFonts w:ascii="Times New Roman" w:hAnsi="Times New Roman" w:cs="Times New Roman"/>
          <w:sz w:val="24"/>
          <w:szCs w:val="24"/>
        </w:rPr>
        <w:t>cross-border</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exchange</w:t>
      </w:r>
      <w:proofErr w:type="spellEnd"/>
      <w:r w:rsidRPr="00161E2D">
        <w:rPr>
          <w:rFonts w:ascii="Times New Roman" w:hAnsi="Times New Roman" w:cs="Times New Roman"/>
          <w:sz w:val="24"/>
          <w:szCs w:val="24"/>
        </w:rPr>
        <w:t xml:space="preserve"> of </w:t>
      </w:r>
      <w:proofErr w:type="spellStart"/>
      <w:r w:rsidRPr="00161E2D">
        <w:rPr>
          <w:rFonts w:ascii="Times New Roman" w:hAnsi="Times New Roman" w:cs="Times New Roman"/>
          <w:sz w:val="24"/>
          <w:szCs w:val="24"/>
        </w:rPr>
        <w:t>information</w:t>
      </w:r>
      <w:proofErr w:type="spellEnd"/>
      <w:r w:rsidRPr="00161E2D">
        <w:rPr>
          <w:rFonts w:ascii="Times New Roman" w:hAnsi="Times New Roman" w:cs="Times New Roman"/>
          <w:sz w:val="24"/>
          <w:szCs w:val="24"/>
        </w:rPr>
        <w:t xml:space="preserve"> on </w:t>
      </w:r>
      <w:proofErr w:type="spellStart"/>
      <w:r w:rsidRPr="00161E2D">
        <w:rPr>
          <w:rFonts w:ascii="Times New Roman" w:hAnsi="Times New Roman" w:cs="Times New Roman"/>
          <w:sz w:val="24"/>
          <w:szCs w:val="24"/>
        </w:rPr>
        <w:t>road</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safety</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related</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traffic</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offences</w:t>
      </w:r>
      <w:proofErr w:type="spellEnd"/>
      <w:r w:rsidRPr="00161E2D">
        <w:rPr>
          <w:rFonts w:ascii="Times New Roman" w:hAnsi="Times New Roman" w:cs="Times New Roman"/>
          <w:sz w:val="24"/>
          <w:szCs w:val="24"/>
        </w:rPr>
        <w:t xml:space="preserve">.  [cit. 22. 03. 2023] Dostupné na internete:  </w:t>
      </w:r>
      <w:r w:rsidRPr="002C6156">
        <w:rPr>
          <w:rFonts w:ascii="Times New Roman" w:hAnsi="Times New Roman" w:cs="Times New Roman"/>
          <w:sz w:val="24"/>
          <w:szCs w:val="24"/>
        </w:rPr>
        <w:t>&lt;</w:t>
      </w:r>
      <w:hyperlink r:id="rId18" w:history="1">
        <w:r w:rsidRPr="002C6156">
          <w:rPr>
            <w:rStyle w:val="Hypertextovprepojenie"/>
            <w:rFonts w:ascii="Times New Roman" w:hAnsi="Times New Roman" w:cs="Times New Roman"/>
            <w:color w:val="auto"/>
            <w:sz w:val="24"/>
            <w:szCs w:val="24"/>
            <w:u w:val="none"/>
          </w:rPr>
          <w:t>https://road-safety.transport.ec.europa.eu/eu-road-safety-policy/priorities/safe-road-use/enforcement/revision-directive-cross-border-exchange-information-road-safety-related-traffic-offences_en</w:t>
        </w:r>
      </w:hyperlink>
      <w:r w:rsidRPr="002C6156">
        <w:rPr>
          <w:rFonts w:ascii="Times New Roman" w:hAnsi="Times New Roman" w:cs="Times New Roman"/>
          <w:sz w:val="24"/>
          <w:szCs w:val="24"/>
        </w:rPr>
        <w:t>&gt;</w:t>
      </w:r>
      <w:r w:rsidR="002C6156">
        <w:rPr>
          <w:rFonts w:ascii="Times New Roman" w:hAnsi="Times New Roman" w:cs="Times New Roman"/>
          <w:sz w:val="24"/>
          <w:szCs w:val="24"/>
        </w:rPr>
        <w:t>.</w:t>
      </w:r>
    </w:p>
    <w:p w14:paraId="3481C4BF" w14:textId="2FD8417E" w:rsidR="001E47F4" w:rsidRPr="003A2D2B" w:rsidRDefault="001E47F4" w:rsidP="001E47F4">
      <w:pPr>
        <w:pStyle w:val="Textpoznmkypodiarou"/>
        <w:spacing w:after="60"/>
        <w:ind w:left="425" w:hanging="425"/>
        <w:jc w:val="both"/>
        <w:rPr>
          <w:rFonts w:ascii="Times New Roman" w:hAnsi="Times New Roman" w:cs="Times New Roman"/>
          <w:sz w:val="24"/>
          <w:szCs w:val="24"/>
        </w:rPr>
      </w:pPr>
      <w:r w:rsidRPr="003A2D2B">
        <w:rPr>
          <w:rFonts w:ascii="Times New Roman" w:hAnsi="Times New Roman" w:cs="Times New Roman"/>
          <w:sz w:val="24"/>
          <w:szCs w:val="24"/>
        </w:rPr>
        <w:t xml:space="preserve">2019 </w:t>
      </w:r>
      <w:proofErr w:type="spellStart"/>
      <w:r w:rsidRPr="003A2D2B">
        <w:rPr>
          <w:rFonts w:ascii="Times New Roman" w:hAnsi="Times New Roman" w:cs="Times New Roman"/>
          <w:sz w:val="24"/>
          <w:szCs w:val="24"/>
        </w:rPr>
        <w:t>road</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safety</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statistics</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what</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is</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behind</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the</w:t>
      </w:r>
      <w:proofErr w:type="spellEnd"/>
      <w:r w:rsidRPr="003A2D2B">
        <w:rPr>
          <w:rFonts w:ascii="Times New Roman" w:hAnsi="Times New Roman" w:cs="Times New Roman"/>
          <w:sz w:val="24"/>
          <w:szCs w:val="24"/>
        </w:rPr>
        <w:t xml:space="preserve"> </w:t>
      </w:r>
      <w:proofErr w:type="spellStart"/>
      <w:r w:rsidRPr="003A2D2B">
        <w:rPr>
          <w:rFonts w:ascii="Times New Roman" w:hAnsi="Times New Roman" w:cs="Times New Roman"/>
          <w:sz w:val="24"/>
          <w:szCs w:val="24"/>
        </w:rPr>
        <w:t>figures</w:t>
      </w:r>
      <w:proofErr w:type="spellEnd"/>
      <w:r w:rsidRPr="003A2D2B">
        <w:rPr>
          <w:rFonts w:ascii="Times New Roman" w:hAnsi="Times New Roman" w:cs="Times New Roman"/>
          <w:sz w:val="24"/>
          <w:szCs w:val="24"/>
        </w:rPr>
        <w:t xml:space="preserve">?. Jún 2020  cit. 22. 03. 2023] Dostupné na internete:  </w:t>
      </w:r>
      <w:r w:rsidRPr="002C6156">
        <w:rPr>
          <w:rFonts w:ascii="Times New Roman" w:hAnsi="Times New Roman" w:cs="Times New Roman"/>
          <w:sz w:val="24"/>
          <w:szCs w:val="24"/>
        </w:rPr>
        <w:t>&lt;</w:t>
      </w:r>
      <w:hyperlink r:id="rId19" w:history="1">
        <w:r w:rsidRPr="002C6156">
          <w:rPr>
            <w:rStyle w:val="Hypertextovprepojenie"/>
            <w:rFonts w:ascii="Times New Roman" w:hAnsi="Times New Roman" w:cs="Times New Roman"/>
            <w:color w:val="auto"/>
            <w:sz w:val="24"/>
            <w:szCs w:val="24"/>
            <w:u w:val="none"/>
          </w:rPr>
          <w:t>https://ec.europa.eu/commission/presscorner/detail/en/qanda_20_1004</w:t>
        </w:r>
      </w:hyperlink>
      <w:r w:rsidRPr="002C6156">
        <w:rPr>
          <w:rStyle w:val="Hypertextovprepojenie"/>
          <w:rFonts w:ascii="Times New Roman" w:hAnsi="Times New Roman" w:cs="Times New Roman"/>
          <w:color w:val="auto"/>
          <w:sz w:val="24"/>
          <w:szCs w:val="24"/>
          <w:u w:val="none"/>
        </w:rPr>
        <w:t>&gt;</w:t>
      </w:r>
      <w:r w:rsidR="002C6156">
        <w:rPr>
          <w:rStyle w:val="Hypertextovprepojenie"/>
          <w:rFonts w:ascii="Times New Roman" w:hAnsi="Times New Roman" w:cs="Times New Roman"/>
          <w:color w:val="auto"/>
          <w:sz w:val="24"/>
          <w:szCs w:val="24"/>
          <w:u w:val="none"/>
        </w:rPr>
        <w:t>.</w:t>
      </w:r>
      <w:r w:rsidRPr="002C6156">
        <w:rPr>
          <w:rFonts w:ascii="Times New Roman" w:hAnsi="Times New Roman" w:cs="Times New Roman"/>
          <w:sz w:val="24"/>
          <w:szCs w:val="24"/>
        </w:rPr>
        <w:t xml:space="preserve"> </w:t>
      </w:r>
    </w:p>
    <w:p w14:paraId="2667CD5B" w14:textId="16554A14" w:rsidR="00161E2D" w:rsidRPr="002C6156" w:rsidRDefault="00161E2D" w:rsidP="00161E2D">
      <w:pPr>
        <w:spacing w:after="60"/>
        <w:ind w:left="425" w:hanging="425"/>
        <w:jc w:val="both"/>
        <w:rPr>
          <w:rFonts w:ascii="Times New Roman" w:hAnsi="Times New Roman" w:cs="Times New Roman"/>
          <w:bCs/>
          <w:sz w:val="24"/>
          <w:szCs w:val="24"/>
        </w:rPr>
      </w:pPr>
      <w:r w:rsidRPr="00161E2D">
        <w:rPr>
          <w:rFonts w:ascii="Times New Roman" w:hAnsi="Times New Roman" w:cs="Times New Roman"/>
          <w:sz w:val="24"/>
          <w:szCs w:val="24"/>
        </w:rPr>
        <w:t xml:space="preserve">Road </w:t>
      </w:r>
      <w:proofErr w:type="spellStart"/>
      <w:r w:rsidRPr="00161E2D">
        <w:rPr>
          <w:rFonts w:ascii="Times New Roman" w:hAnsi="Times New Roman" w:cs="Times New Roman"/>
          <w:sz w:val="24"/>
          <w:szCs w:val="24"/>
        </w:rPr>
        <w:t>safety</w:t>
      </w:r>
      <w:proofErr w:type="spellEnd"/>
      <w:r w:rsidRPr="00161E2D">
        <w:rPr>
          <w:rFonts w:ascii="Times New Roman" w:hAnsi="Times New Roman" w:cs="Times New Roman"/>
          <w:sz w:val="24"/>
          <w:szCs w:val="24"/>
        </w:rPr>
        <w:t xml:space="preserve"> in </w:t>
      </w:r>
      <w:proofErr w:type="spellStart"/>
      <w:r w:rsidRPr="00161E2D">
        <w:rPr>
          <w:rFonts w:ascii="Times New Roman" w:hAnsi="Times New Roman" w:cs="Times New Roman"/>
          <w:sz w:val="24"/>
          <w:szCs w:val="24"/>
        </w:rPr>
        <w:t>the</w:t>
      </w:r>
      <w:proofErr w:type="spellEnd"/>
      <w:r w:rsidRPr="00161E2D">
        <w:rPr>
          <w:rFonts w:ascii="Times New Roman" w:hAnsi="Times New Roman" w:cs="Times New Roman"/>
          <w:sz w:val="24"/>
          <w:szCs w:val="24"/>
        </w:rPr>
        <w:t xml:space="preserve"> EU: </w:t>
      </w:r>
      <w:proofErr w:type="spellStart"/>
      <w:r w:rsidRPr="00161E2D">
        <w:rPr>
          <w:rFonts w:ascii="Times New Roman" w:hAnsi="Times New Roman" w:cs="Times New Roman"/>
          <w:sz w:val="24"/>
          <w:szCs w:val="24"/>
        </w:rPr>
        <w:t>fatalities</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below</w:t>
      </w:r>
      <w:proofErr w:type="spellEnd"/>
      <w:r w:rsidRPr="00161E2D">
        <w:rPr>
          <w:rFonts w:ascii="Times New Roman" w:hAnsi="Times New Roman" w:cs="Times New Roman"/>
          <w:sz w:val="24"/>
          <w:szCs w:val="24"/>
        </w:rPr>
        <w:t xml:space="preserve"> pre-</w:t>
      </w:r>
      <w:proofErr w:type="spellStart"/>
      <w:r w:rsidRPr="00161E2D">
        <w:rPr>
          <w:rFonts w:ascii="Times New Roman" w:hAnsi="Times New Roman" w:cs="Times New Roman"/>
          <w:sz w:val="24"/>
          <w:szCs w:val="24"/>
        </w:rPr>
        <w:t>pandemic</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levels</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but</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progress</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remains</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too</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slow</w:t>
      </w:r>
      <w:proofErr w:type="spellEnd"/>
      <w:r w:rsidRPr="00161E2D">
        <w:rPr>
          <w:rFonts w:ascii="Times New Roman" w:hAnsi="Times New Roman" w:cs="Times New Roman"/>
          <w:sz w:val="24"/>
          <w:szCs w:val="24"/>
        </w:rPr>
        <w:t xml:space="preserve">. Február 2023 [cit. 22. 03. 2023] Dostupné na internete:  </w:t>
      </w:r>
      <w:r w:rsidRPr="002C6156">
        <w:rPr>
          <w:rFonts w:ascii="Times New Roman" w:hAnsi="Times New Roman" w:cs="Times New Roman"/>
          <w:sz w:val="24"/>
          <w:szCs w:val="24"/>
        </w:rPr>
        <w:t>&lt;</w:t>
      </w:r>
      <w:hyperlink r:id="rId20" w:history="1">
        <w:r w:rsidRPr="002C6156">
          <w:rPr>
            <w:rStyle w:val="Hypertextovprepojenie"/>
            <w:rFonts w:ascii="Times New Roman" w:hAnsi="Times New Roman" w:cs="Times New Roman"/>
            <w:color w:val="auto"/>
            <w:sz w:val="24"/>
            <w:szCs w:val="24"/>
            <w:u w:val="none"/>
          </w:rPr>
          <w:t>https://ec.europa.eu/commission/presscorner/detail/en/ip_23_953</w:t>
        </w:r>
      </w:hyperlink>
      <w:r w:rsidRPr="002C6156">
        <w:rPr>
          <w:rFonts w:ascii="Times New Roman" w:hAnsi="Times New Roman" w:cs="Times New Roman"/>
          <w:sz w:val="24"/>
          <w:szCs w:val="24"/>
        </w:rPr>
        <w:t>&gt;</w:t>
      </w:r>
      <w:r w:rsidR="002C6156">
        <w:rPr>
          <w:rFonts w:ascii="Times New Roman" w:hAnsi="Times New Roman" w:cs="Times New Roman"/>
          <w:sz w:val="24"/>
          <w:szCs w:val="24"/>
        </w:rPr>
        <w:t>.</w:t>
      </w:r>
    </w:p>
    <w:p w14:paraId="773DD142" w14:textId="6107A9CB" w:rsidR="00161E2D" w:rsidRPr="002C6156" w:rsidRDefault="00161E2D" w:rsidP="00161E2D">
      <w:pPr>
        <w:spacing w:after="60"/>
        <w:ind w:left="425" w:hanging="425"/>
        <w:jc w:val="both"/>
        <w:rPr>
          <w:rFonts w:ascii="Times New Roman" w:hAnsi="Times New Roman" w:cs="Times New Roman"/>
          <w:bCs/>
          <w:sz w:val="24"/>
          <w:szCs w:val="24"/>
        </w:rPr>
      </w:pPr>
      <w:r w:rsidRPr="00161E2D">
        <w:rPr>
          <w:rFonts w:ascii="Times New Roman" w:hAnsi="Times New Roman" w:cs="Times New Roman"/>
          <w:sz w:val="24"/>
          <w:szCs w:val="24"/>
        </w:rPr>
        <w:t xml:space="preserve">Road </w:t>
      </w:r>
      <w:proofErr w:type="spellStart"/>
      <w:r w:rsidRPr="00161E2D">
        <w:rPr>
          <w:rFonts w:ascii="Times New Roman" w:hAnsi="Times New Roman" w:cs="Times New Roman"/>
          <w:sz w:val="24"/>
          <w:szCs w:val="24"/>
        </w:rPr>
        <w:t>safety</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European</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Commission</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sets</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out</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next</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steps</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towards</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Vision</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Zero</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including</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key</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performance</w:t>
      </w:r>
      <w:proofErr w:type="spellEnd"/>
      <w:r w:rsidRPr="00161E2D">
        <w:rPr>
          <w:rFonts w:ascii="Times New Roman" w:hAnsi="Times New Roman" w:cs="Times New Roman"/>
          <w:sz w:val="24"/>
          <w:szCs w:val="24"/>
        </w:rPr>
        <w:t xml:space="preserve"> </w:t>
      </w:r>
      <w:proofErr w:type="spellStart"/>
      <w:r w:rsidRPr="00161E2D">
        <w:rPr>
          <w:rFonts w:ascii="Times New Roman" w:hAnsi="Times New Roman" w:cs="Times New Roman"/>
          <w:sz w:val="24"/>
          <w:szCs w:val="24"/>
        </w:rPr>
        <w:t>indicators</w:t>
      </w:r>
      <w:proofErr w:type="spellEnd"/>
      <w:r w:rsidRPr="00161E2D">
        <w:rPr>
          <w:rFonts w:ascii="Times New Roman" w:hAnsi="Times New Roman" w:cs="Times New Roman"/>
          <w:sz w:val="24"/>
          <w:szCs w:val="24"/>
        </w:rPr>
        <w:t xml:space="preserve">. Jún 2019 [cit. 22. 03. 2023] Dostupné na internete:   </w:t>
      </w:r>
      <w:r w:rsidRPr="002C6156">
        <w:rPr>
          <w:rFonts w:ascii="Times New Roman" w:hAnsi="Times New Roman" w:cs="Times New Roman"/>
          <w:sz w:val="24"/>
          <w:szCs w:val="24"/>
        </w:rPr>
        <w:t>&lt;</w:t>
      </w:r>
      <w:hyperlink r:id="rId21" w:history="1">
        <w:r w:rsidRPr="002C6156">
          <w:rPr>
            <w:rStyle w:val="Hypertextovprepojenie"/>
            <w:rFonts w:ascii="Times New Roman" w:hAnsi="Times New Roman" w:cs="Times New Roman"/>
            <w:color w:val="auto"/>
            <w:sz w:val="24"/>
            <w:szCs w:val="24"/>
            <w:u w:val="none"/>
          </w:rPr>
          <w:t>https://transport.ec.europa.eu/news/road-safety-european-commission-sets-out-next-steps-towards-vision-zero-including-key-performance-2019-06-19_en</w:t>
        </w:r>
      </w:hyperlink>
      <w:r w:rsidRPr="002C6156">
        <w:rPr>
          <w:rFonts w:ascii="Times New Roman" w:hAnsi="Times New Roman" w:cs="Times New Roman"/>
          <w:sz w:val="24"/>
          <w:szCs w:val="24"/>
        </w:rPr>
        <w:t>&gt;</w:t>
      </w:r>
      <w:r w:rsidR="002C6156">
        <w:rPr>
          <w:rFonts w:ascii="Times New Roman" w:hAnsi="Times New Roman" w:cs="Times New Roman"/>
          <w:sz w:val="24"/>
          <w:szCs w:val="24"/>
        </w:rPr>
        <w:t>.</w:t>
      </w:r>
    </w:p>
    <w:p w14:paraId="5666B73B" w14:textId="46C9FDCB" w:rsidR="00190352" w:rsidRDefault="00190352" w:rsidP="00190352">
      <w:pPr>
        <w:pStyle w:val="Textpoznmkypodiarou"/>
        <w:jc w:val="both"/>
        <w:rPr>
          <w:rFonts w:ascii="Times New Roman" w:hAnsi="Times New Roman" w:cs="Times New Roman"/>
          <w:sz w:val="24"/>
          <w:szCs w:val="24"/>
        </w:rPr>
      </w:pPr>
    </w:p>
    <w:p w14:paraId="4E1A26B8" w14:textId="77777777" w:rsidR="001D4238" w:rsidRDefault="001D4238" w:rsidP="00190352">
      <w:pPr>
        <w:pStyle w:val="Textpoznmkypodiarou"/>
        <w:jc w:val="both"/>
        <w:rPr>
          <w:rFonts w:ascii="Times New Roman" w:hAnsi="Times New Roman" w:cs="Times New Roman"/>
          <w:sz w:val="24"/>
          <w:szCs w:val="24"/>
        </w:rPr>
      </w:pPr>
    </w:p>
    <w:p w14:paraId="0EDF57F4" w14:textId="65B97184" w:rsidR="00A35C66" w:rsidRDefault="00A35C66" w:rsidP="00A35C66">
      <w:pPr>
        <w:pStyle w:val="Textpoznmkypodiarou"/>
        <w:jc w:val="both"/>
        <w:rPr>
          <w:rFonts w:ascii="Times New Roman" w:hAnsi="Times New Roman" w:cs="Times New Roman"/>
          <w:sz w:val="24"/>
          <w:szCs w:val="24"/>
          <w:lang w:val="en-GB"/>
        </w:rPr>
      </w:pPr>
      <w:r w:rsidRPr="00A35C66">
        <w:rPr>
          <w:rFonts w:ascii="Times New Roman" w:hAnsi="Times New Roman" w:cs="Times New Roman"/>
          <w:b/>
          <w:bCs/>
          <w:sz w:val="24"/>
          <w:szCs w:val="24"/>
          <w:lang w:val="en-GB"/>
        </w:rPr>
        <w:t xml:space="preserve">Key words: </w:t>
      </w:r>
      <w:r w:rsidR="007B70D8" w:rsidRPr="007B70D8">
        <w:rPr>
          <w:rFonts w:ascii="Times New Roman" w:hAnsi="Times New Roman" w:cs="Times New Roman"/>
          <w:bCs/>
          <w:sz w:val="24"/>
          <w:szCs w:val="24"/>
          <w:lang w:val="en-GB"/>
        </w:rPr>
        <w:t>traffic offences, mortality, enforceability of sanctions, exchange of information, EUCARIS</w:t>
      </w:r>
    </w:p>
    <w:p w14:paraId="10149145" w14:textId="77777777" w:rsidR="00A35C66" w:rsidRPr="00A35C66" w:rsidRDefault="00A35C66" w:rsidP="00A35C66">
      <w:pPr>
        <w:pStyle w:val="Textpoznmkypodiarou"/>
        <w:jc w:val="both"/>
        <w:rPr>
          <w:rFonts w:ascii="Times New Roman" w:hAnsi="Times New Roman" w:cs="Times New Roman"/>
          <w:sz w:val="24"/>
          <w:szCs w:val="24"/>
          <w:lang w:val="en-GB"/>
        </w:rPr>
      </w:pPr>
    </w:p>
    <w:p w14:paraId="08B9654D" w14:textId="31DF374F" w:rsidR="009361E7" w:rsidRPr="009361E7" w:rsidRDefault="00A35C66" w:rsidP="009361E7">
      <w:pPr>
        <w:pStyle w:val="Textpoznmkypodiarou"/>
        <w:keepNext/>
        <w:jc w:val="center"/>
        <w:rPr>
          <w:rFonts w:ascii="Times New Roman" w:hAnsi="Times New Roman" w:cs="Times New Roman"/>
          <w:b/>
          <w:bCs/>
          <w:sz w:val="24"/>
          <w:szCs w:val="24"/>
          <w:lang w:val="en-GB"/>
        </w:rPr>
      </w:pPr>
      <w:r w:rsidRPr="00A35C66">
        <w:rPr>
          <w:rFonts w:ascii="Times New Roman" w:hAnsi="Times New Roman" w:cs="Times New Roman"/>
          <w:b/>
          <w:bCs/>
          <w:sz w:val="24"/>
          <w:szCs w:val="24"/>
          <w:lang w:val="en-GB"/>
        </w:rPr>
        <w:t>Summary</w:t>
      </w:r>
    </w:p>
    <w:p w14:paraId="6C603E6B" w14:textId="0D62EE49" w:rsidR="009361E7" w:rsidRDefault="009361E7" w:rsidP="009361E7">
      <w:pPr>
        <w:spacing w:after="0" w:line="240" w:lineRule="auto"/>
        <w:jc w:val="both"/>
        <w:rPr>
          <w:rFonts w:ascii="Times New Roman" w:hAnsi="Times New Roman" w:cs="Times New Roman"/>
          <w:sz w:val="24"/>
          <w:szCs w:val="24"/>
          <w:lang w:val="en-GB"/>
        </w:rPr>
      </w:pPr>
    </w:p>
    <w:p w14:paraId="4E353069" w14:textId="76C12E7A" w:rsidR="009361E7" w:rsidRPr="00136540" w:rsidRDefault="009361E7" w:rsidP="009361E7">
      <w:pPr>
        <w:spacing w:after="0" w:line="240" w:lineRule="auto"/>
        <w:ind w:firstLine="708"/>
        <w:jc w:val="both"/>
        <w:rPr>
          <w:rFonts w:ascii="Times New Roman" w:hAnsi="Times New Roman" w:cs="Times New Roman"/>
          <w:sz w:val="24"/>
          <w:szCs w:val="24"/>
          <w:lang w:val="en-GB"/>
        </w:rPr>
      </w:pPr>
      <w:r w:rsidRPr="00136540">
        <w:rPr>
          <w:rFonts w:ascii="Times New Roman" w:hAnsi="Times New Roman" w:cs="Times New Roman"/>
          <w:sz w:val="24"/>
          <w:szCs w:val="24"/>
          <w:lang w:val="en-GB"/>
        </w:rPr>
        <w:t xml:space="preserve">The CBE Directive represents active effort of </w:t>
      </w:r>
      <w:r w:rsidR="00263D9A" w:rsidRPr="00136540">
        <w:rPr>
          <w:rFonts w:ascii="Times New Roman" w:hAnsi="Times New Roman" w:cs="Times New Roman"/>
          <w:sz w:val="24"/>
          <w:szCs w:val="24"/>
          <w:lang w:val="en-GB"/>
        </w:rPr>
        <w:t xml:space="preserve">the </w:t>
      </w:r>
      <w:r w:rsidRPr="00136540">
        <w:rPr>
          <w:rFonts w:ascii="Times New Roman" w:hAnsi="Times New Roman" w:cs="Times New Roman"/>
          <w:sz w:val="24"/>
          <w:szCs w:val="24"/>
          <w:lang w:val="en-GB"/>
        </w:rPr>
        <w:t xml:space="preserve">EU to reduce the number of deaths on the roads. It </w:t>
      </w:r>
      <w:proofErr w:type="gramStart"/>
      <w:r w:rsidRPr="00136540">
        <w:rPr>
          <w:rFonts w:ascii="Times New Roman" w:hAnsi="Times New Roman" w:cs="Times New Roman"/>
          <w:sz w:val="24"/>
          <w:szCs w:val="24"/>
          <w:lang w:val="en-GB"/>
        </w:rPr>
        <w:t>can b</w:t>
      </w:r>
      <w:r w:rsidR="00263D9A" w:rsidRPr="00136540">
        <w:rPr>
          <w:rFonts w:ascii="Times New Roman" w:hAnsi="Times New Roman" w:cs="Times New Roman"/>
          <w:sz w:val="24"/>
          <w:szCs w:val="24"/>
          <w:lang w:val="en-GB"/>
        </w:rPr>
        <w:t>e assumed</w:t>
      </w:r>
      <w:proofErr w:type="gramEnd"/>
      <w:r w:rsidR="00263D9A" w:rsidRPr="00136540">
        <w:rPr>
          <w:rFonts w:ascii="Times New Roman" w:hAnsi="Times New Roman" w:cs="Times New Roman"/>
          <w:sz w:val="24"/>
          <w:szCs w:val="24"/>
          <w:lang w:val="en-GB"/>
        </w:rPr>
        <w:t xml:space="preserve"> that </w:t>
      </w:r>
      <w:r w:rsidRPr="00136540">
        <w:rPr>
          <w:rFonts w:ascii="Times New Roman" w:hAnsi="Times New Roman" w:cs="Times New Roman"/>
          <w:sz w:val="24"/>
          <w:szCs w:val="24"/>
          <w:lang w:val="en-GB"/>
        </w:rPr>
        <w:t>it serves as a preventive measure against non-resident drivers</w:t>
      </w:r>
      <w:r w:rsidR="00263D9A" w:rsidRPr="00136540">
        <w:rPr>
          <w:rFonts w:ascii="Times New Roman" w:hAnsi="Times New Roman" w:cs="Times New Roman"/>
          <w:sz w:val="24"/>
          <w:szCs w:val="24"/>
          <w:lang w:val="en-GB"/>
        </w:rPr>
        <w:t>, since they shall be</w:t>
      </w:r>
      <w:r w:rsidRPr="00136540">
        <w:rPr>
          <w:rFonts w:ascii="Times New Roman" w:hAnsi="Times New Roman" w:cs="Times New Roman"/>
          <w:sz w:val="24"/>
          <w:szCs w:val="24"/>
          <w:lang w:val="en-GB"/>
        </w:rPr>
        <w:t xml:space="preserve"> motivated to follow the rules of the road in the "host country". It does not support unnecessary and inefficient administrative procedures based on the exchange of written requests </w:t>
      </w:r>
      <w:r w:rsidR="008D099A" w:rsidRPr="00136540">
        <w:rPr>
          <w:rFonts w:ascii="Times New Roman" w:hAnsi="Times New Roman" w:cs="Times New Roman"/>
          <w:sz w:val="24"/>
          <w:szCs w:val="24"/>
          <w:lang w:val="en-GB"/>
        </w:rPr>
        <w:t>among</w:t>
      </w:r>
      <w:r w:rsidRPr="00136540">
        <w:rPr>
          <w:rFonts w:ascii="Times New Roman" w:hAnsi="Times New Roman" w:cs="Times New Roman"/>
          <w:sz w:val="24"/>
          <w:szCs w:val="24"/>
          <w:lang w:val="en-GB"/>
        </w:rPr>
        <w:t xml:space="preserve"> the responsible authorities of Member States.</w:t>
      </w:r>
    </w:p>
    <w:p w14:paraId="3744B2C3" w14:textId="2B18F023" w:rsidR="008D099A" w:rsidRPr="00136540" w:rsidRDefault="009361E7" w:rsidP="008D099A">
      <w:pPr>
        <w:spacing w:after="0" w:line="240" w:lineRule="auto"/>
        <w:ind w:firstLine="708"/>
        <w:jc w:val="both"/>
        <w:rPr>
          <w:rFonts w:ascii="Times New Roman" w:hAnsi="Times New Roman" w:cs="Times New Roman"/>
          <w:sz w:val="24"/>
          <w:szCs w:val="24"/>
          <w:lang w:val="en-GB"/>
        </w:rPr>
      </w:pPr>
      <w:r w:rsidRPr="00136540">
        <w:rPr>
          <w:rFonts w:ascii="Times New Roman" w:hAnsi="Times New Roman" w:cs="Times New Roman"/>
          <w:sz w:val="24"/>
          <w:szCs w:val="24"/>
          <w:lang w:val="en-GB"/>
        </w:rPr>
        <w:t xml:space="preserve">There is a perspective that its positive effects on road traffic safety can be even more extensive in the case - if the number of </w:t>
      </w:r>
      <w:r w:rsidR="00263D9A" w:rsidRPr="00136540">
        <w:rPr>
          <w:rFonts w:ascii="Times New Roman" w:hAnsi="Times New Roman" w:cs="Times New Roman"/>
          <w:sz w:val="24"/>
          <w:szCs w:val="24"/>
          <w:lang w:val="en-GB"/>
        </w:rPr>
        <w:t xml:space="preserve">successfully </w:t>
      </w:r>
      <w:r w:rsidRPr="00136540">
        <w:rPr>
          <w:rFonts w:ascii="Times New Roman" w:hAnsi="Times New Roman" w:cs="Times New Roman"/>
          <w:sz w:val="24"/>
          <w:szCs w:val="24"/>
          <w:lang w:val="en-GB"/>
        </w:rPr>
        <w:t>investigated traffic offenses rapidly increase</w:t>
      </w:r>
      <w:r w:rsidR="008D099A" w:rsidRPr="00136540">
        <w:rPr>
          <w:rFonts w:ascii="Times New Roman" w:hAnsi="Times New Roman" w:cs="Times New Roman"/>
          <w:sz w:val="24"/>
          <w:szCs w:val="24"/>
          <w:lang w:val="en-GB"/>
        </w:rPr>
        <w:t>s</w:t>
      </w:r>
      <w:r w:rsidRPr="00136540">
        <w:rPr>
          <w:rFonts w:ascii="Times New Roman" w:hAnsi="Times New Roman" w:cs="Times New Roman"/>
          <w:sz w:val="24"/>
          <w:szCs w:val="24"/>
          <w:lang w:val="en-GB"/>
        </w:rPr>
        <w:t xml:space="preserve">. The desired effect of CBE Directive might by achieved </w:t>
      </w:r>
      <w:r w:rsidR="008D099A" w:rsidRPr="00136540">
        <w:rPr>
          <w:rFonts w:ascii="Times New Roman" w:hAnsi="Times New Roman" w:cs="Times New Roman"/>
          <w:sz w:val="24"/>
          <w:szCs w:val="24"/>
          <w:lang w:val="en-GB"/>
        </w:rPr>
        <w:t>through the harmonisation of transport offences in Member States and the way they are dealt with or punished.</w:t>
      </w:r>
    </w:p>
    <w:p w14:paraId="6C1DB5E9" w14:textId="2968AE0E" w:rsidR="008D099A" w:rsidRPr="00136540" w:rsidRDefault="009361E7" w:rsidP="005D2676">
      <w:pPr>
        <w:spacing w:after="0"/>
        <w:ind w:firstLine="708"/>
        <w:jc w:val="both"/>
        <w:rPr>
          <w:rFonts w:ascii="Times New Roman" w:hAnsi="Times New Roman" w:cs="Times New Roman"/>
          <w:sz w:val="24"/>
          <w:szCs w:val="24"/>
          <w:lang w:val="en-GB"/>
        </w:rPr>
      </w:pPr>
      <w:r w:rsidRPr="00136540">
        <w:rPr>
          <w:rFonts w:ascii="Times New Roman" w:hAnsi="Times New Roman" w:cs="Times New Roman"/>
          <w:sz w:val="24"/>
          <w:szCs w:val="24"/>
          <w:lang w:val="en-GB"/>
        </w:rPr>
        <w:t xml:space="preserve">As </w:t>
      </w:r>
      <w:r w:rsidR="008D099A" w:rsidRPr="00136540">
        <w:rPr>
          <w:rFonts w:ascii="Times New Roman" w:hAnsi="Times New Roman" w:cs="Times New Roman"/>
          <w:sz w:val="24"/>
          <w:szCs w:val="24"/>
          <w:lang w:val="en-GB"/>
        </w:rPr>
        <w:t>regards</w:t>
      </w:r>
      <w:r w:rsidRPr="00136540">
        <w:rPr>
          <w:rFonts w:ascii="Times New Roman" w:hAnsi="Times New Roman" w:cs="Times New Roman"/>
          <w:sz w:val="24"/>
          <w:szCs w:val="24"/>
          <w:lang w:val="en-GB"/>
        </w:rPr>
        <w:t xml:space="preserve"> the practical application of the provisions of the CBE Directive, specifically the successful enforcement of monetary sanctions for traffic offences, it </w:t>
      </w:r>
      <w:proofErr w:type="gramStart"/>
      <w:r w:rsidRPr="00136540">
        <w:rPr>
          <w:rFonts w:ascii="Times New Roman" w:hAnsi="Times New Roman" w:cs="Times New Roman"/>
          <w:sz w:val="24"/>
          <w:szCs w:val="24"/>
          <w:lang w:val="en-GB"/>
        </w:rPr>
        <w:t>should be harmonized</w:t>
      </w:r>
      <w:proofErr w:type="gramEnd"/>
      <w:r w:rsidRPr="00136540">
        <w:rPr>
          <w:rFonts w:ascii="Times New Roman" w:hAnsi="Times New Roman" w:cs="Times New Roman"/>
          <w:sz w:val="24"/>
          <w:szCs w:val="24"/>
          <w:lang w:val="en-GB"/>
        </w:rPr>
        <w:t xml:space="preserve"> under the EU's guidance through </w:t>
      </w:r>
      <w:r w:rsidR="008D099A" w:rsidRPr="00136540">
        <w:rPr>
          <w:rFonts w:ascii="Times New Roman" w:hAnsi="Times New Roman" w:cs="Times New Roman"/>
          <w:sz w:val="24"/>
          <w:szCs w:val="24"/>
          <w:lang w:val="en-GB"/>
        </w:rPr>
        <w:t>the continuous</w:t>
      </w:r>
      <w:r w:rsidRPr="00136540">
        <w:rPr>
          <w:rFonts w:ascii="Times New Roman" w:hAnsi="Times New Roman" w:cs="Times New Roman"/>
          <w:sz w:val="24"/>
          <w:szCs w:val="24"/>
          <w:lang w:val="en-GB"/>
        </w:rPr>
        <w:t xml:space="preserve"> negotiations. </w:t>
      </w:r>
      <w:r w:rsidR="008D099A" w:rsidRPr="00136540">
        <w:rPr>
          <w:rFonts w:ascii="Times New Roman" w:hAnsi="Times New Roman" w:cs="Times New Roman"/>
          <w:sz w:val="24"/>
          <w:szCs w:val="24"/>
          <w:lang w:val="en-GB"/>
        </w:rPr>
        <w:t xml:space="preserve">At the current stage, it is </w:t>
      </w:r>
      <w:r w:rsidR="008D099A" w:rsidRPr="00136540">
        <w:rPr>
          <w:rFonts w:ascii="Times New Roman" w:hAnsi="Times New Roman" w:cs="Times New Roman"/>
          <w:sz w:val="24"/>
          <w:szCs w:val="24"/>
          <w:lang w:val="en-GB"/>
        </w:rPr>
        <w:lastRenderedPageBreak/>
        <w:t xml:space="preserve">important that the EU authorities identify the specific problems of Member </w:t>
      </w:r>
      <w:r w:rsidR="005D2676" w:rsidRPr="00136540">
        <w:rPr>
          <w:rFonts w:ascii="Times New Roman" w:hAnsi="Times New Roman" w:cs="Times New Roman"/>
          <w:sz w:val="24"/>
          <w:szCs w:val="24"/>
          <w:lang w:val="en-GB"/>
        </w:rPr>
        <w:t>S</w:t>
      </w:r>
      <w:r w:rsidR="008D099A" w:rsidRPr="00136540">
        <w:rPr>
          <w:rFonts w:ascii="Times New Roman" w:hAnsi="Times New Roman" w:cs="Times New Roman"/>
          <w:sz w:val="24"/>
          <w:szCs w:val="24"/>
          <w:lang w:val="en-GB"/>
        </w:rPr>
        <w:t xml:space="preserve">tates with the application of the CBE Directive and their solution is in the process of </w:t>
      </w:r>
      <w:proofErr w:type="gramStart"/>
      <w:r w:rsidR="008D099A" w:rsidRPr="00136540">
        <w:rPr>
          <w:rFonts w:ascii="Times New Roman" w:hAnsi="Times New Roman" w:cs="Times New Roman"/>
          <w:sz w:val="24"/>
          <w:szCs w:val="24"/>
          <w:lang w:val="en-GB"/>
        </w:rPr>
        <w:t>being solved</w:t>
      </w:r>
      <w:proofErr w:type="gramEnd"/>
      <w:r w:rsidR="008D099A" w:rsidRPr="00136540">
        <w:rPr>
          <w:rFonts w:ascii="Times New Roman" w:hAnsi="Times New Roman" w:cs="Times New Roman"/>
          <w:sz w:val="24"/>
          <w:szCs w:val="24"/>
          <w:lang w:val="en-GB"/>
        </w:rPr>
        <w:t xml:space="preserve">. Only the text of the revised CBE Directive will reveal how the EU authorities have dealt with the many comments raised by </w:t>
      </w:r>
      <w:r w:rsidR="005D2676" w:rsidRPr="00136540">
        <w:rPr>
          <w:rFonts w:ascii="Times New Roman" w:hAnsi="Times New Roman" w:cs="Times New Roman"/>
          <w:sz w:val="24"/>
          <w:szCs w:val="24"/>
          <w:lang w:val="en-GB"/>
        </w:rPr>
        <w:t>M</w:t>
      </w:r>
      <w:r w:rsidR="008D099A" w:rsidRPr="00136540">
        <w:rPr>
          <w:rFonts w:ascii="Times New Roman" w:hAnsi="Times New Roman" w:cs="Times New Roman"/>
          <w:sz w:val="24"/>
          <w:szCs w:val="24"/>
          <w:lang w:val="en-GB"/>
        </w:rPr>
        <w:t xml:space="preserve">ember </w:t>
      </w:r>
      <w:r w:rsidR="005D2676" w:rsidRPr="00136540">
        <w:rPr>
          <w:rFonts w:ascii="Times New Roman" w:hAnsi="Times New Roman" w:cs="Times New Roman"/>
          <w:sz w:val="24"/>
          <w:szCs w:val="24"/>
          <w:lang w:val="en-GB"/>
        </w:rPr>
        <w:t>S</w:t>
      </w:r>
      <w:r w:rsidR="008D099A" w:rsidRPr="00136540">
        <w:rPr>
          <w:rFonts w:ascii="Times New Roman" w:hAnsi="Times New Roman" w:cs="Times New Roman"/>
          <w:sz w:val="24"/>
          <w:szCs w:val="24"/>
          <w:lang w:val="en-GB"/>
        </w:rPr>
        <w:t>tates.</w:t>
      </w:r>
    </w:p>
    <w:p w14:paraId="6295D14B" w14:textId="0CDB781A" w:rsidR="0062661B" w:rsidRPr="00136540" w:rsidRDefault="0062661B" w:rsidP="0062661B">
      <w:pPr>
        <w:spacing w:after="0"/>
        <w:ind w:firstLine="709"/>
        <w:jc w:val="both"/>
        <w:rPr>
          <w:rFonts w:ascii="Times New Roman" w:hAnsi="Times New Roman" w:cs="Times New Roman"/>
          <w:sz w:val="24"/>
          <w:szCs w:val="24"/>
          <w:lang w:val="en-GB"/>
        </w:rPr>
      </w:pPr>
      <w:proofErr w:type="gramStart"/>
      <w:r w:rsidRPr="00136540">
        <w:rPr>
          <w:rFonts w:ascii="Times New Roman" w:hAnsi="Times New Roman" w:cs="Times New Roman"/>
          <w:sz w:val="24"/>
          <w:szCs w:val="24"/>
          <w:lang w:val="en-GB"/>
        </w:rPr>
        <w:t>The revised CBE Directive should maximize its potential within the objective of improving road safety thanks to a higher level of compliance with the applicable road traffic rules by road users who do not reside in the relevant Member State through the introduction of a comprehensive approach in order to create synergies with other instruments, specifically those related to mutual assistance and cooperation between Member States in the investigation of traffic offences and mutual recognition of monetary penalties.</w:t>
      </w:r>
      <w:proofErr w:type="gramEnd"/>
    </w:p>
    <w:p w14:paraId="2B205F76" w14:textId="082B7DEC" w:rsidR="009361E7" w:rsidRPr="00A35C66" w:rsidRDefault="009361E7" w:rsidP="0062661B">
      <w:pPr>
        <w:spacing w:after="0" w:line="240" w:lineRule="auto"/>
        <w:ind w:firstLine="709"/>
        <w:jc w:val="both"/>
        <w:rPr>
          <w:rFonts w:ascii="Times New Roman" w:hAnsi="Times New Roman" w:cs="Times New Roman"/>
          <w:sz w:val="24"/>
          <w:szCs w:val="24"/>
          <w:lang w:val="en-GB"/>
        </w:rPr>
      </w:pPr>
      <w:r w:rsidRPr="00136540">
        <w:rPr>
          <w:rFonts w:ascii="Times New Roman" w:hAnsi="Times New Roman" w:cs="Times New Roman"/>
          <w:sz w:val="24"/>
          <w:szCs w:val="24"/>
          <w:lang w:val="en-GB"/>
        </w:rPr>
        <w:t>It is obvio</w:t>
      </w:r>
      <w:r w:rsidR="00263D9A" w:rsidRPr="00136540">
        <w:rPr>
          <w:rFonts w:ascii="Times New Roman" w:hAnsi="Times New Roman" w:cs="Times New Roman"/>
          <w:sz w:val="24"/>
          <w:szCs w:val="24"/>
          <w:lang w:val="en-GB"/>
        </w:rPr>
        <w:t>us that</w:t>
      </w:r>
      <w:r w:rsidR="0062661B" w:rsidRPr="00136540">
        <w:rPr>
          <w:rFonts w:ascii="Times New Roman" w:hAnsi="Times New Roman" w:cs="Times New Roman"/>
          <w:sz w:val="24"/>
          <w:szCs w:val="24"/>
          <w:lang w:val="en-GB"/>
        </w:rPr>
        <w:t xml:space="preserve"> solutions in</w:t>
      </w:r>
      <w:r w:rsidR="00263D9A" w:rsidRPr="00136540">
        <w:rPr>
          <w:rFonts w:ascii="Times New Roman" w:hAnsi="Times New Roman" w:cs="Times New Roman"/>
          <w:sz w:val="24"/>
          <w:szCs w:val="24"/>
          <w:lang w:val="en-GB"/>
        </w:rPr>
        <w:t xml:space="preserve"> the area </w:t>
      </w:r>
      <w:r w:rsidRPr="00136540">
        <w:rPr>
          <w:rFonts w:ascii="Times New Roman" w:hAnsi="Times New Roman" w:cs="Times New Roman"/>
          <w:sz w:val="24"/>
          <w:szCs w:val="24"/>
          <w:lang w:val="en-GB"/>
        </w:rPr>
        <w:t>of traffic offen</w:t>
      </w:r>
      <w:r w:rsidR="0062661B" w:rsidRPr="00136540">
        <w:rPr>
          <w:rFonts w:ascii="Times New Roman" w:hAnsi="Times New Roman" w:cs="Times New Roman"/>
          <w:sz w:val="24"/>
          <w:szCs w:val="24"/>
          <w:lang w:val="en-GB"/>
        </w:rPr>
        <w:t>c</w:t>
      </w:r>
      <w:r w:rsidRPr="00136540">
        <w:rPr>
          <w:rFonts w:ascii="Times New Roman" w:hAnsi="Times New Roman" w:cs="Times New Roman"/>
          <w:sz w:val="24"/>
          <w:szCs w:val="24"/>
          <w:lang w:val="en-GB"/>
        </w:rPr>
        <w:t>es</w:t>
      </w:r>
      <w:r w:rsidRPr="009361E7">
        <w:rPr>
          <w:rFonts w:ascii="Times New Roman" w:hAnsi="Times New Roman" w:cs="Times New Roman"/>
          <w:sz w:val="24"/>
          <w:szCs w:val="24"/>
          <w:lang w:val="en-GB"/>
        </w:rPr>
        <w:t xml:space="preserve"> ha</w:t>
      </w:r>
      <w:r w:rsidR="0062661B">
        <w:rPr>
          <w:rFonts w:ascii="Times New Roman" w:hAnsi="Times New Roman" w:cs="Times New Roman"/>
          <w:sz w:val="24"/>
          <w:szCs w:val="24"/>
          <w:lang w:val="en-GB"/>
        </w:rPr>
        <w:t>ve</w:t>
      </w:r>
      <w:r w:rsidRPr="009361E7">
        <w:rPr>
          <w:rFonts w:ascii="Times New Roman" w:hAnsi="Times New Roman" w:cs="Times New Roman"/>
          <w:sz w:val="24"/>
          <w:szCs w:val="24"/>
          <w:lang w:val="en-GB"/>
        </w:rPr>
        <w:t xml:space="preserve"> significantly </w:t>
      </w:r>
      <w:r w:rsidR="0062661B">
        <w:rPr>
          <w:rFonts w:ascii="Times New Roman" w:hAnsi="Times New Roman" w:cs="Times New Roman"/>
          <w:sz w:val="24"/>
          <w:szCs w:val="24"/>
          <w:lang w:val="en-GB"/>
        </w:rPr>
        <w:t>enhanced</w:t>
      </w:r>
      <w:r w:rsidRPr="009361E7">
        <w:rPr>
          <w:rFonts w:ascii="Times New Roman" w:hAnsi="Times New Roman" w:cs="Times New Roman"/>
          <w:sz w:val="24"/>
          <w:szCs w:val="24"/>
          <w:lang w:val="en-GB"/>
        </w:rPr>
        <w:t xml:space="preserve">, </w:t>
      </w:r>
      <w:r w:rsidR="0062661B">
        <w:rPr>
          <w:rFonts w:ascii="Times New Roman" w:hAnsi="Times New Roman" w:cs="Times New Roman"/>
          <w:sz w:val="24"/>
          <w:szCs w:val="24"/>
          <w:lang w:val="en-GB"/>
        </w:rPr>
        <w:t xml:space="preserve">however, </w:t>
      </w:r>
      <w:r w:rsidRPr="009361E7">
        <w:rPr>
          <w:rFonts w:ascii="Times New Roman" w:hAnsi="Times New Roman" w:cs="Times New Roman"/>
          <w:sz w:val="24"/>
          <w:szCs w:val="24"/>
          <w:lang w:val="en-GB"/>
        </w:rPr>
        <w:t>it is still desirable that the series of improvements and measures with regard to the technological development of vehicles and transport infrastructure constantly develop responsibly and adequately, especially through coordination and guidance from the EU authorities.</w:t>
      </w:r>
    </w:p>
    <w:p w14:paraId="127CCAE1" w14:textId="6157B3DE" w:rsidR="006C2515" w:rsidRDefault="006C2515" w:rsidP="00EA06E5">
      <w:pPr>
        <w:spacing w:after="0"/>
        <w:jc w:val="both"/>
        <w:rPr>
          <w:rFonts w:ascii="Times New Roman" w:hAnsi="Times New Roman" w:cs="Times New Roman"/>
          <w:bCs/>
          <w:i/>
          <w:sz w:val="24"/>
          <w:szCs w:val="24"/>
        </w:rPr>
      </w:pPr>
    </w:p>
    <w:p w14:paraId="788671A6" w14:textId="697EAD7C" w:rsidR="00A66747" w:rsidRPr="00E24219" w:rsidRDefault="00C14E5C" w:rsidP="00161E2D">
      <w:pPr>
        <w:spacing w:after="0"/>
        <w:ind w:firstLine="4746"/>
        <w:jc w:val="both"/>
        <w:rPr>
          <w:rFonts w:ascii="Times New Roman" w:hAnsi="Times New Roman" w:cs="Times New Roman"/>
          <w:bCs/>
          <w:i/>
          <w:sz w:val="24"/>
          <w:szCs w:val="24"/>
        </w:rPr>
      </w:pPr>
      <w:r w:rsidRPr="003948F2">
        <w:rPr>
          <w:rFonts w:ascii="Times New Roman" w:hAnsi="Times New Roman" w:cs="Times New Roman"/>
          <w:bCs/>
          <w:i/>
          <w:sz w:val="24"/>
          <w:szCs w:val="24"/>
        </w:rPr>
        <w:t xml:space="preserve">mjr. </w:t>
      </w:r>
      <w:r w:rsidRPr="00E24219">
        <w:rPr>
          <w:rFonts w:ascii="Times New Roman" w:hAnsi="Times New Roman" w:cs="Times New Roman"/>
          <w:bCs/>
          <w:i/>
          <w:sz w:val="24"/>
          <w:szCs w:val="24"/>
        </w:rPr>
        <w:t>PhDr. Vladimíra Hudecová</w:t>
      </w:r>
    </w:p>
    <w:p w14:paraId="58C2E0B1" w14:textId="3BD25E24" w:rsidR="00A66747" w:rsidRPr="00E24219" w:rsidRDefault="00C14E5C" w:rsidP="00161E2D">
      <w:pPr>
        <w:spacing w:after="0"/>
        <w:ind w:firstLine="4746"/>
        <w:jc w:val="both"/>
        <w:rPr>
          <w:rFonts w:ascii="Times New Roman" w:hAnsi="Times New Roman" w:cs="Times New Roman"/>
          <w:b/>
          <w:i/>
          <w:sz w:val="24"/>
          <w:szCs w:val="24"/>
        </w:rPr>
      </w:pPr>
      <w:r w:rsidRPr="00E24219">
        <w:rPr>
          <w:rFonts w:ascii="Times New Roman" w:hAnsi="Times New Roman" w:cs="Times New Roman"/>
          <w:i/>
          <w:sz w:val="24"/>
          <w:szCs w:val="24"/>
        </w:rPr>
        <w:t>odbor dokladov a evidencií</w:t>
      </w:r>
    </w:p>
    <w:p w14:paraId="4732DC03" w14:textId="01140742" w:rsidR="00A66747" w:rsidRPr="00E24219" w:rsidRDefault="00C14E5C" w:rsidP="00161E2D">
      <w:pPr>
        <w:spacing w:after="0"/>
        <w:ind w:firstLine="4746"/>
        <w:jc w:val="both"/>
        <w:rPr>
          <w:rFonts w:ascii="Times New Roman" w:hAnsi="Times New Roman" w:cs="Times New Roman"/>
          <w:i/>
          <w:sz w:val="24"/>
          <w:szCs w:val="24"/>
        </w:rPr>
      </w:pPr>
      <w:r w:rsidRPr="00E24219">
        <w:rPr>
          <w:rFonts w:ascii="Times New Roman" w:hAnsi="Times New Roman" w:cs="Times New Roman"/>
          <w:i/>
          <w:sz w:val="24"/>
          <w:szCs w:val="24"/>
        </w:rPr>
        <w:t>Prezídium Policajného zboru</w:t>
      </w:r>
    </w:p>
    <w:p w14:paraId="444A9D5B" w14:textId="7867309C" w:rsidR="00C106D0" w:rsidRPr="00E24219" w:rsidRDefault="005904BC" w:rsidP="00161E2D">
      <w:pPr>
        <w:spacing w:after="0"/>
        <w:ind w:firstLine="4746"/>
        <w:jc w:val="both"/>
        <w:rPr>
          <w:rStyle w:val="Hypertextovprepojenie"/>
          <w:rFonts w:ascii="Times New Roman" w:hAnsi="Times New Roman" w:cs="Times New Roman"/>
          <w:i/>
          <w:color w:val="auto"/>
          <w:sz w:val="24"/>
          <w:szCs w:val="24"/>
          <w:u w:val="none"/>
        </w:rPr>
      </w:pPr>
      <w:r w:rsidRPr="00E24219">
        <w:rPr>
          <w:rFonts w:ascii="Times New Roman" w:hAnsi="Times New Roman" w:cs="Times New Roman"/>
          <w:i/>
          <w:sz w:val="24"/>
          <w:szCs w:val="24"/>
        </w:rPr>
        <w:t>e</w:t>
      </w:r>
      <w:r w:rsidR="001D4238" w:rsidRPr="00E24219">
        <w:rPr>
          <w:rFonts w:ascii="Times New Roman" w:hAnsi="Times New Roman" w:cs="Times New Roman"/>
          <w:i/>
          <w:sz w:val="24"/>
          <w:szCs w:val="24"/>
        </w:rPr>
        <w:t>-</w:t>
      </w:r>
      <w:r w:rsidRPr="00E24219">
        <w:rPr>
          <w:rFonts w:ascii="Times New Roman" w:hAnsi="Times New Roman" w:cs="Times New Roman"/>
          <w:i/>
          <w:sz w:val="24"/>
          <w:szCs w:val="24"/>
        </w:rPr>
        <w:t xml:space="preserve">mail: </w:t>
      </w:r>
      <w:hyperlink r:id="rId22" w:history="1">
        <w:r w:rsidR="006C5F4F" w:rsidRPr="00E24219">
          <w:rPr>
            <w:rStyle w:val="Hypertextovprepojenie"/>
            <w:rFonts w:ascii="Times New Roman" w:hAnsi="Times New Roman" w:cs="Times New Roman"/>
            <w:i/>
            <w:color w:val="auto"/>
            <w:sz w:val="24"/>
            <w:szCs w:val="24"/>
            <w:u w:val="none"/>
          </w:rPr>
          <w:t>vladimira.hudecova2@minv.sk</w:t>
        </w:r>
      </w:hyperlink>
      <w:r w:rsidR="006C5F4F" w:rsidRPr="00E24219">
        <w:rPr>
          <w:rFonts w:ascii="Times New Roman" w:hAnsi="Times New Roman" w:cs="Times New Roman"/>
          <w:i/>
          <w:sz w:val="24"/>
          <w:szCs w:val="24"/>
        </w:rPr>
        <w:t xml:space="preserve"> </w:t>
      </w:r>
    </w:p>
    <w:p w14:paraId="44A9C9BD" w14:textId="0D963B3D" w:rsidR="007B70D8" w:rsidRPr="00E24219" w:rsidRDefault="007B70D8" w:rsidP="00161E2D">
      <w:pPr>
        <w:spacing w:after="0"/>
        <w:ind w:firstLine="4746"/>
        <w:jc w:val="both"/>
        <w:rPr>
          <w:rStyle w:val="Hypertextovprepojenie"/>
          <w:rFonts w:ascii="Times New Roman" w:hAnsi="Times New Roman" w:cs="Times New Roman"/>
          <w:i/>
          <w:color w:val="auto"/>
          <w:sz w:val="24"/>
          <w:szCs w:val="24"/>
          <w:u w:val="none"/>
        </w:rPr>
      </w:pPr>
    </w:p>
    <w:p w14:paraId="0935E086" w14:textId="65C676E6" w:rsidR="007B70D8" w:rsidRPr="00E24219" w:rsidRDefault="007B70D8" w:rsidP="00161E2D">
      <w:pPr>
        <w:spacing w:after="0"/>
        <w:ind w:firstLine="4746"/>
        <w:jc w:val="both"/>
        <w:rPr>
          <w:rFonts w:ascii="Times New Roman" w:hAnsi="Times New Roman" w:cs="Times New Roman"/>
          <w:bCs/>
          <w:i/>
          <w:sz w:val="24"/>
          <w:szCs w:val="24"/>
        </w:rPr>
      </w:pPr>
      <w:r w:rsidRPr="00E24219">
        <w:rPr>
          <w:rFonts w:ascii="Times New Roman" w:hAnsi="Times New Roman" w:cs="Times New Roman"/>
          <w:bCs/>
          <w:i/>
          <w:sz w:val="24"/>
          <w:szCs w:val="24"/>
        </w:rPr>
        <w:t xml:space="preserve">pplk. PhDr. Mgr. Michal </w:t>
      </w:r>
      <w:proofErr w:type="spellStart"/>
      <w:r w:rsidRPr="00E24219">
        <w:rPr>
          <w:rFonts w:ascii="Times New Roman" w:hAnsi="Times New Roman" w:cs="Times New Roman"/>
          <w:bCs/>
          <w:i/>
          <w:sz w:val="24"/>
          <w:szCs w:val="24"/>
        </w:rPr>
        <w:t>Šimunek</w:t>
      </w:r>
      <w:proofErr w:type="spellEnd"/>
      <w:r w:rsidRPr="00E24219">
        <w:rPr>
          <w:rFonts w:ascii="Times New Roman" w:hAnsi="Times New Roman" w:cs="Times New Roman"/>
          <w:bCs/>
          <w:i/>
          <w:sz w:val="24"/>
          <w:szCs w:val="24"/>
        </w:rPr>
        <w:t>, MBA</w:t>
      </w:r>
    </w:p>
    <w:p w14:paraId="72F3193E" w14:textId="29C0D55F" w:rsidR="007B70D8" w:rsidRPr="00E24219" w:rsidRDefault="007B70D8" w:rsidP="00161E2D">
      <w:pPr>
        <w:spacing w:after="0"/>
        <w:ind w:firstLine="4746"/>
        <w:jc w:val="both"/>
        <w:rPr>
          <w:rFonts w:ascii="Times New Roman" w:hAnsi="Times New Roman" w:cs="Times New Roman"/>
          <w:b/>
          <w:i/>
          <w:sz w:val="24"/>
          <w:szCs w:val="24"/>
        </w:rPr>
      </w:pPr>
      <w:r w:rsidRPr="00E24219">
        <w:rPr>
          <w:rFonts w:ascii="Times New Roman" w:hAnsi="Times New Roman" w:cs="Times New Roman"/>
          <w:i/>
          <w:sz w:val="24"/>
          <w:szCs w:val="24"/>
        </w:rPr>
        <w:t>odbor dopravnej polície</w:t>
      </w:r>
    </w:p>
    <w:p w14:paraId="731C51F0" w14:textId="09CC4A26" w:rsidR="007B70D8" w:rsidRPr="00E24219" w:rsidRDefault="007B70D8" w:rsidP="00161E2D">
      <w:pPr>
        <w:spacing w:after="0"/>
        <w:ind w:firstLine="4746"/>
        <w:jc w:val="both"/>
        <w:rPr>
          <w:rFonts w:ascii="Times New Roman" w:hAnsi="Times New Roman" w:cs="Times New Roman"/>
          <w:i/>
          <w:sz w:val="24"/>
          <w:szCs w:val="24"/>
        </w:rPr>
      </w:pPr>
      <w:r w:rsidRPr="00E24219">
        <w:rPr>
          <w:rFonts w:ascii="Times New Roman" w:hAnsi="Times New Roman" w:cs="Times New Roman"/>
          <w:i/>
          <w:sz w:val="24"/>
          <w:szCs w:val="24"/>
        </w:rPr>
        <w:t>Prezídium Policajného zboru</w:t>
      </w:r>
    </w:p>
    <w:p w14:paraId="20804C1E" w14:textId="7D453931" w:rsidR="007B70D8" w:rsidRPr="00E24219" w:rsidRDefault="007B70D8" w:rsidP="00161E2D">
      <w:pPr>
        <w:spacing w:after="0"/>
        <w:ind w:firstLine="4746"/>
        <w:jc w:val="both"/>
        <w:rPr>
          <w:rStyle w:val="Hypertextovprepojenie"/>
          <w:rFonts w:ascii="Times New Roman" w:hAnsi="Times New Roman" w:cs="Times New Roman"/>
          <w:i/>
          <w:color w:val="auto"/>
          <w:sz w:val="24"/>
          <w:szCs w:val="24"/>
          <w:u w:val="none"/>
        </w:rPr>
      </w:pPr>
      <w:r w:rsidRPr="00E24219">
        <w:rPr>
          <w:rFonts w:ascii="Times New Roman" w:hAnsi="Times New Roman" w:cs="Times New Roman"/>
          <w:i/>
          <w:sz w:val="24"/>
          <w:szCs w:val="24"/>
        </w:rPr>
        <w:t xml:space="preserve">e-mail: </w:t>
      </w:r>
      <w:hyperlink r:id="rId23" w:history="1">
        <w:r w:rsidR="00C31AD7" w:rsidRPr="00E24219">
          <w:rPr>
            <w:rStyle w:val="Hypertextovprepojenie"/>
            <w:rFonts w:ascii="Times New Roman" w:hAnsi="Times New Roman" w:cs="Times New Roman"/>
            <w:i/>
            <w:color w:val="auto"/>
            <w:sz w:val="24"/>
            <w:szCs w:val="24"/>
            <w:u w:val="none"/>
          </w:rPr>
          <w:t>michal.simunek@minv.sk</w:t>
        </w:r>
      </w:hyperlink>
    </w:p>
    <w:p w14:paraId="2FC79E59" w14:textId="77777777" w:rsidR="00E24219" w:rsidRDefault="00E24219" w:rsidP="005D2443">
      <w:pPr>
        <w:spacing w:after="0"/>
        <w:jc w:val="both"/>
        <w:rPr>
          <w:rFonts w:ascii="Times New Roman" w:hAnsi="Times New Roman" w:cs="Times New Roman"/>
          <w:sz w:val="24"/>
          <w:szCs w:val="24"/>
        </w:rPr>
      </w:pPr>
    </w:p>
    <w:p w14:paraId="6A86C5F2" w14:textId="3C4B4CA1" w:rsidR="001D4238" w:rsidRPr="001D4238" w:rsidRDefault="00C14E5C" w:rsidP="005D2443">
      <w:pPr>
        <w:spacing w:after="0"/>
        <w:jc w:val="both"/>
        <w:rPr>
          <w:rFonts w:ascii="Times New Roman" w:hAnsi="Times New Roman" w:cs="Times New Roman"/>
          <w:sz w:val="24"/>
          <w:szCs w:val="24"/>
        </w:rPr>
      </w:pPr>
      <w:r>
        <w:rPr>
          <w:rFonts w:ascii="Times New Roman" w:hAnsi="Times New Roman" w:cs="Times New Roman"/>
          <w:sz w:val="24"/>
          <w:szCs w:val="24"/>
        </w:rPr>
        <w:t>Recenzent</w:t>
      </w:r>
      <w:r w:rsidR="00E24219">
        <w:rPr>
          <w:rFonts w:ascii="Times New Roman" w:hAnsi="Times New Roman" w:cs="Times New Roman"/>
          <w:sz w:val="24"/>
          <w:szCs w:val="24"/>
        </w:rPr>
        <w:t>i</w:t>
      </w:r>
      <w:r>
        <w:rPr>
          <w:rFonts w:ascii="Times New Roman" w:hAnsi="Times New Roman" w:cs="Times New Roman"/>
          <w:sz w:val="24"/>
          <w:szCs w:val="24"/>
        </w:rPr>
        <w:t>:</w:t>
      </w:r>
      <w:r w:rsidR="00E24219">
        <w:rPr>
          <w:rFonts w:ascii="Times New Roman" w:hAnsi="Times New Roman" w:cs="Times New Roman"/>
          <w:sz w:val="24"/>
          <w:szCs w:val="24"/>
        </w:rPr>
        <w:t xml:space="preserve"> Ing. Anton Vajgel, JUDr. Ján </w:t>
      </w:r>
      <w:proofErr w:type="spellStart"/>
      <w:r w:rsidR="00E24219">
        <w:rPr>
          <w:rFonts w:ascii="Times New Roman" w:hAnsi="Times New Roman" w:cs="Times New Roman"/>
          <w:sz w:val="24"/>
          <w:szCs w:val="24"/>
        </w:rPr>
        <w:t>Nociar</w:t>
      </w:r>
      <w:proofErr w:type="spellEnd"/>
      <w:r w:rsidR="00E24219">
        <w:rPr>
          <w:rFonts w:ascii="Times New Roman" w:hAnsi="Times New Roman" w:cs="Times New Roman"/>
          <w:sz w:val="24"/>
          <w:szCs w:val="24"/>
        </w:rPr>
        <w:t>, PhD.</w:t>
      </w:r>
    </w:p>
    <w:sectPr w:rsidR="001D4238" w:rsidRPr="001D4238" w:rsidSect="00271C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6A41D" w14:textId="77777777" w:rsidR="0029306F" w:rsidRDefault="0029306F" w:rsidP="00C106D0">
      <w:pPr>
        <w:spacing w:after="0" w:line="240" w:lineRule="auto"/>
      </w:pPr>
      <w:r>
        <w:separator/>
      </w:r>
    </w:p>
  </w:endnote>
  <w:endnote w:type="continuationSeparator" w:id="0">
    <w:p w14:paraId="56D4EF06" w14:textId="77777777" w:rsidR="0029306F" w:rsidRDefault="0029306F" w:rsidP="00C1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E2657" w14:textId="77777777" w:rsidR="0029306F" w:rsidRDefault="0029306F" w:rsidP="00C106D0">
      <w:pPr>
        <w:spacing w:after="0" w:line="240" w:lineRule="auto"/>
      </w:pPr>
      <w:r>
        <w:separator/>
      </w:r>
    </w:p>
  </w:footnote>
  <w:footnote w:type="continuationSeparator" w:id="0">
    <w:p w14:paraId="7C82734E" w14:textId="77777777" w:rsidR="0029306F" w:rsidRDefault="0029306F" w:rsidP="00C106D0">
      <w:pPr>
        <w:spacing w:after="0" w:line="240" w:lineRule="auto"/>
      </w:pPr>
      <w:r>
        <w:continuationSeparator/>
      </w:r>
    </w:p>
  </w:footnote>
  <w:footnote w:id="1">
    <w:p w14:paraId="78632F5F" w14:textId="5583DF9F" w:rsidR="00650AB0" w:rsidRPr="00083BF4" w:rsidRDefault="00650AB0" w:rsidP="00F23FAB">
      <w:pPr>
        <w:pStyle w:val="Textpoznmkypodiarou"/>
        <w:jc w:val="both"/>
        <w:rPr>
          <w:rFonts w:ascii="Times New Roman" w:hAnsi="Times New Roman" w:cs="Times New Roman"/>
        </w:rPr>
      </w:pPr>
      <w:r w:rsidRPr="00C9597F">
        <w:rPr>
          <w:rStyle w:val="Odkaznapoznmkupodiarou"/>
          <w:rFonts w:ascii="Times New Roman" w:hAnsi="Times New Roman" w:cs="Times New Roman"/>
        </w:rPr>
        <w:footnoteRef/>
      </w:r>
      <w:r>
        <w:rPr>
          <w:rFonts w:ascii="Times New Roman" w:hAnsi="Times New Roman" w:cs="Times New Roman"/>
        </w:rPr>
        <w:t xml:space="preserve"> </w:t>
      </w:r>
      <w:r w:rsidRPr="00D662F6">
        <w:rPr>
          <w:rFonts w:ascii="Times New Roman" w:hAnsi="Times New Roman" w:cs="Times New Roman"/>
        </w:rPr>
        <w:t>Rámec politiky EÚ pre bezpečnosť cestnej premávky na roky 2021 – 2030 - odporúčania týkajúce sa ďalších krokov smerom k „vízii nulovej úmrtnosti na cestách“</w:t>
      </w:r>
      <w:r>
        <w:rPr>
          <w:rFonts w:ascii="Times New Roman" w:hAnsi="Times New Roman" w:cs="Times New Roman"/>
        </w:rPr>
        <w:t>.</w:t>
      </w:r>
      <w:r w:rsidRPr="00D662F6">
        <w:rPr>
          <w:rFonts w:ascii="Times New Roman" w:hAnsi="Times New Roman" w:cs="Times New Roman"/>
        </w:rPr>
        <w:t xml:space="preserve"> </w:t>
      </w:r>
      <w:r>
        <w:rPr>
          <w:rFonts w:ascii="Times New Roman" w:hAnsi="Times New Roman" w:cs="Times New Roman"/>
        </w:rPr>
        <w:t xml:space="preserve">Október 2021 </w:t>
      </w:r>
      <w:r w:rsidRPr="00C9597F">
        <w:rPr>
          <w:rFonts w:ascii="Times New Roman" w:hAnsi="Times New Roman" w:cs="Times New Roman"/>
        </w:rPr>
        <w:t xml:space="preserve"> </w:t>
      </w:r>
      <w:r>
        <w:rPr>
          <w:rFonts w:ascii="Times New Roman" w:hAnsi="Times New Roman" w:cs="Times New Roman"/>
        </w:rPr>
        <w:t>[cit. 22</w:t>
      </w:r>
      <w:r w:rsidRPr="00D662F6">
        <w:rPr>
          <w:rFonts w:ascii="Times New Roman" w:hAnsi="Times New Roman" w:cs="Times New Roman"/>
        </w:rPr>
        <w:t>.</w:t>
      </w:r>
      <w:r>
        <w:rPr>
          <w:rFonts w:ascii="Times New Roman" w:hAnsi="Times New Roman" w:cs="Times New Roman"/>
        </w:rPr>
        <w:t xml:space="preserve"> 03</w:t>
      </w:r>
      <w:r w:rsidRPr="00D662F6">
        <w:rPr>
          <w:rFonts w:ascii="Times New Roman" w:hAnsi="Times New Roman" w:cs="Times New Roman"/>
        </w:rPr>
        <w:t>.</w:t>
      </w:r>
      <w:r>
        <w:rPr>
          <w:rFonts w:ascii="Times New Roman" w:hAnsi="Times New Roman" w:cs="Times New Roman"/>
        </w:rPr>
        <w:t xml:space="preserve"> </w:t>
      </w:r>
      <w:r w:rsidRPr="00D662F6">
        <w:rPr>
          <w:rFonts w:ascii="Times New Roman" w:hAnsi="Times New Roman" w:cs="Times New Roman"/>
        </w:rPr>
        <w:t xml:space="preserve">2023] </w:t>
      </w:r>
      <w:r>
        <w:rPr>
          <w:rFonts w:ascii="Times New Roman" w:hAnsi="Times New Roman" w:cs="Times New Roman"/>
        </w:rPr>
        <w:t xml:space="preserve">Dostupné na internete: </w:t>
      </w:r>
      <w:r w:rsidRPr="00083BF4">
        <w:rPr>
          <w:rFonts w:ascii="Times New Roman" w:hAnsi="Times New Roman" w:cs="Times New Roman"/>
        </w:rPr>
        <w:t>&lt;</w:t>
      </w:r>
      <w:hyperlink r:id="rId1" w:history="1">
        <w:r w:rsidRPr="00083BF4">
          <w:rPr>
            <w:rStyle w:val="Hypertextovprepojenie"/>
            <w:rFonts w:ascii="Times New Roman" w:hAnsi="Times New Roman" w:cs="Times New Roman"/>
            <w:color w:val="auto"/>
            <w:u w:val="none"/>
          </w:rPr>
          <w:t>https://www.europarl.europa.eu/doceo/document/TA-9-2021-0407_SK.html</w:t>
        </w:r>
      </w:hyperlink>
      <w:r w:rsidRPr="00083BF4">
        <w:t>&gt;</w:t>
      </w:r>
      <w:r w:rsidR="00083BF4">
        <w:t>.</w:t>
      </w:r>
    </w:p>
  </w:footnote>
  <w:footnote w:id="2">
    <w:p w14:paraId="4D17AA62" w14:textId="3F26B21A" w:rsidR="00650AB0" w:rsidRPr="00083BF4" w:rsidRDefault="00650AB0" w:rsidP="00F23FAB">
      <w:pPr>
        <w:pStyle w:val="Textpoznmkypodiarou"/>
        <w:jc w:val="both"/>
      </w:pPr>
      <w:r w:rsidRPr="00083BF4">
        <w:rPr>
          <w:rStyle w:val="Odkaznapoznmkupodiarou"/>
        </w:rPr>
        <w:footnoteRef/>
      </w:r>
      <w:r w:rsidRPr="00083BF4">
        <w:t xml:space="preserve"> </w:t>
      </w:r>
      <w:proofErr w:type="spellStart"/>
      <w:r w:rsidRPr="00083BF4">
        <w:rPr>
          <w:rFonts w:ascii="Times New Roman" w:hAnsi="Times New Roman" w:cs="Times New Roman"/>
        </w:rPr>
        <w:t>Communication</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from</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the</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Commission</w:t>
      </w:r>
      <w:proofErr w:type="spellEnd"/>
      <w:r w:rsidRPr="00083BF4">
        <w:rPr>
          <w:rFonts w:ascii="Times New Roman" w:hAnsi="Times New Roman" w:cs="Times New Roman"/>
        </w:rPr>
        <w:t xml:space="preserve"> to </w:t>
      </w:r>
      <w:proofErr w:type="spellStart"/>
      <w:r w:rsidRPr="00083BF4">
        <w:rPr>
          <w:rFonts w:ascii="Times New Roman" w:hAnsi="Times New Roman" w:cs="Times New Roman"/>
        </w:rPr>
        <w:t>the</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European</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Parliament</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the</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Council</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the</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European</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Economic</w:t>
      </w:r>
      <w:proofErr w:type="spellEnd"/>
      <w:r w:rsidRPr="00083BF4">
        <w:rPr>
          <w:rFonts w:ascii="Times New Roman" w:hAnsi="Times New Roman" w:cs="Times New Roman"/>
        </w:rPr>
        <w:t xml:space="preserve"> and </w:t>
      </w:r>
      <w:proofErr w:type="spellStart"/>
      <w:r w:rsidRPr="00083BF4">
        <w:rPr>
          <w:rFonts w:ascii="Times New Roman" w:hAnsi="Times New Roman" w:cs="Times New Roman"/>
        </w:rPr>
        <w:t>Social</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Committee</w:t>
      </w:r>
      <w:proofErr w:type="spellEnd"/>
      <w:r w:rsidRPr="00083BF4">
        <w:rPr>
          <w:rFonts w:ascii="Times New Roman" w:hAnsi="Times New Roman" w:cs="Times New Roman"/>
        </w:rPr>
        <w:t xml:space="preserve"> and </w:t>
      </w:r>
      <w:proofErr w:type="spellStart"/>
      <w:r w:rsidRPr="00083BF4">
        <w:rPr>
          <w:rFonts w:ascii="Times New Roman" w:hAnsi="Times New Roman" w:cs="Times New Roman"/>
        </w:rPr>
        <w:t>the</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Committee</w:t>
      </w:r>
      <w:proofErr w:type="spellEnd"/>
      <w:r w:rsidRPr="00083BF4">
        <w:rPr>
          <w:rFonts w:ascii="Times New Roman" w:hAnsi="Times New Roman" w:cs="Times New Roman"/>
        </w:rPr>
        <w:t xml:space="preserve"> of </w:t>
      </w:r>
      <w:proofErr w:type="spellStart"/>
      <w:r w:rsidRPr="00083BF4">
        <w:rPr>
          <w:rFonts w:ascii="Times New Roman" w:hAnsi="Times New Roman" w:cs="Times New Roman"/>
        </w:rPr>
        <w:t>the</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Region</w:t>
      </w:r>
      <w:proofErr w:type="spellEnd"/>
      <w:r w:rsidRPr="00083BF4">
        <w:rPr>
          <w:rFonts w:ascii="Times New Roman" w:hAnsi="Times New Roman" w:cs="Times New Roman"/>
        </w:rPr>
        <w:t xml:space="preserve">. </w:t>
      </w:r>
      <w:r w:rsidRPr="00083BF4">
        <w:t xml:space="preserve"> </w:t>
      </w:r>
      <w:r w:rsidRPr="00083BF4">
        <w:rPr>
          <w:rFonts w:ascii="Times New Roman" w:hAnsi="Times New Roman" w:cs="Times New Roman"/>
        </w:rPr>
        <w:t xml:space="preserve">Máj 2018  [cit. 22. 03. </w:t>
      </w:r>
      <w:r w:rsidRPr="00083BF4">
        <w:rPr>
          <w:rFonts w:ascii="Times New Roman" w:hAnsi="Times New Roman" w:cs="Times New Roman"/>
        </w:rPr>
        <w:t>2023] Dostupné na internete:  &lt;</w:t>
      </w:r>
      <w:hyperlink r:id="rId2" w:history="1">
        <w:r w:rsidRPr="00083BF4">
          <w:rPr>
            <w:rStyle w:val="Hypertextovprepojenie"/>
            <w:rFonts w:ascii="Times New Roman" w:hAnsi="Times New Roman" w:cs="Times New Roman"/>
            <w:color w:val="auto"/>
            <w:u w:val="none"/>
          </w:rPr>
          <w:t>https://eur-lex.europa.eu/resource.html?uri=cellar%3A0e8b694e-59b5-11e8-ab41-01aa75ed71a1.0003.02/DOC_1&amp;format=PDF</w:t>
        </w:r>
      </w:hyperlink>
      <w:r w:rsidRPr="00083BF4">
        <w:t>&gt;</w:t>
      </w:r>
      <w:r w:rsidR="00083BF4">
        <w:t>.</w:t>
      </w:r>
    </w:p>
  </w:footnote>
  <w:footnote w:id="3">
    <w:p w14:paraId="61AC2257" w14:textId="4A8B5308" w:rsidR="00650AB0" w:rsidRPr="00083BF4" w:rsidRDefault="00650AB0" w:rsidP="00F23FAB">
      <w:pPr>
        <w:pStyle w:val="Textpoznmkypodiarou"/>
        <w:jc w:val="both"/>
      </w:pPr>
      <w:r w:rsidRPr="00083BF4">
        <w:rPr>
          <w:rStyle w:val="Odkaznapoznmkupodiarou"/>
        </w:rPr>
        <w:footnoteRef/>
      </w:r>
      <w:r w:rsidRPr="00083BF4">
        <w:t xml:space="preserve"> </w:t>
      </w:r>
      <w:r w:rsidRPr="00083BF4">
        <w:rPr>
          <w:rFonts w:ascii="Times New Roman" w:hAnsi="Times New Roman" w:cs="Times New Roman"/>
        </w:rPr>
        <w:t xml:space="preserve">Road </w:t>
      </w:r>
      <w:proofErr w:type="spellStart"/>
      <w:r w:rsidRPr="00083BF4">
        <w:rPr>
          <w:rFonts w:ascii="Times New Roman" w:hAnsi="Times New Roman" w:cs="Times New Roman"/>
        </w:rPr>
        <w:t>safety</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European</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Commission</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sets</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out</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next</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steps</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towards</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Vision</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Zero</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including</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key</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performance</w:t>
      </w:r>
      <w:proofErr w:type="spellEnd"/>
      <w:r w:rsidRPr="00083BF4">
        <w:rPr>
          <w:rFonts w:ascii="Times New Roman" w:hAnsi="Times New Roman" w:cs="Times New Roman"/>
        </w:rPr>
        <w:t xml:space="preserve"> </w:t>
      </w:r>
      <w:proofErr w:type="spellStart"/>
      <w:r w:rsidRPr="00083BF4">
        <w:rPr>
          <w:rFonts w:ascii="Times New Roman" w:hAnsi="Times New Roman" w:cs="Times New Roman"/>
        </w:rPr>
        <w:t>indicators</w:t>
      </w:r>
      <w:proofErr w:type="spellEnd"/>
      <w:r w:rsidRPr="00083BF4">
        <w:rPr>
          <w:rFonts w:ascii="Times New Roman" w:hAnsi="Times New Roman" w:cs="Times New Roman"/>
        </w:rPr>
        <w:t>.</w:t>
      </w:r>
      <w:r w:rsidRPr="00083BF4">
        <w:t xml:space="preserve"> Jún 2019 </w:t>
      </w:r>
      <w:r w:rsidRPr="00083BF4">
        <w:rPr>
          <w:rFonts w:ascii="Times New Roman" w:hAnsi="Times New Roman" w:cs="Times New Roman"/>
        </w:rPr>
        <w:t xml:space="preserve">[cit. 22. 03. 2023] Dostupné na internete:  </w:t>
      </w:r>
      <w:r w:rsidRPr="00083BF4">
        <w:t xml:space="preserve"> </w:t>
      </w:r>
      <w:r w:rsidRPr="00083BF4">
        <w:rPr>
          <w:rFonts w:ascii="Times New Roman" w:hAnsi="Times New Roman" w:cs="Times New Roman"/>
        </w:rPr>
        <w:t>&lt;</w:t>
      </w:r>
      <w:hyperlink r:id="rId3" w:history="1">
        <w:r w:rsidRPr="00083BF4">
          <w:rPr>
            <w:rStyle w:val="Hypertextovprepojenie"/>
            <w:rFonts w:ascii="Times New Roman" w:hAnsi="Times New Roman" w:cs="Times New Roman"/>
            <w:color w:val="auto"/>
            <w:u w:val="none"/>
          </w:rPr>
          <w:t>https://transport.ec.europa.eu/news/road-safety-european-commission-sets-out-next-steps-towards-vision-zero-including-key-performance-2019-06-19_en</w:t>
        </w:r>
      </w:hyperlink>
      <w:r w:rsidRPr="00083BF4">
        <w:t>&gt;</w:t>
      </w:r>
      <w:r w:rsidR="00083BF4">
        <w:t>.</w:t>
      </w:r>
    </w:p>
  </w:footnote>
  <w:footnote w:id="4">
    <w:p w14:paraId="0B1F8162" w14:textId="0825335E" w:rsidR="00650AB0" w:rsidRPr="0075663E" w:rsidRDefault="00650AB0" w:rsidP="00F23FAB">
      <w:pPr>
        <w:pStyle w:val="Textpoznmkypodiarou"/>
        <w:jc w:val="both"/>
        <w:rPr>
          <w:rFonts w:ascii="Times New Roman" w:hAnsi="Times New Roman" w:cs="Times New Roman"/>
        </w:rPr>
      </w:pPr>
      <w:r w:rsidRPr="001557C5">
        <w:rPr>
          <w:rStyle w:val="Odkaznapoznmkupodiarou"/>
          <w:rFonts w:ascii="Times New Roman" w:hAnsi="Times New Roman" w:cs="Times New Roman"/>
        </w:rPr>
        <w:footnoteRef/>
      </w:r>
      <w:r w:rsidRPr="001557C5">
        <w:rPr>
          <w:rFonts w:ascii="Times New Roman" w:hAnsi="Times New Roman" w:cs="Times New Roman"/>
        </w:rPr>
        <w:t xml:space="preserve"> </w:t>
      </w:r>
      <w:r w:rsidRPr="00EF0FA6">
        <w:rPr>
          <w:rFonts w:ascii="Times New Roman" w:hAnsi="Times New Roman" w:cs="Times New Roman"/>
        </w:rPr>
        <w:t xml:space="preserve">Road </w:t>
      </w:r>
      <w:proofErr w:type="spellStart"/>
      <w:r w:rsidRPr="00EF0FA6">
        <w:rPr>
          <w:rFonts w:ascii="Times New Roman" w:hAnsi="Times New Roman" w:cs="Times New Roman"/>
        </w:rPr>
        <w:t>safety</w:t>
      </w:r>
      <w:proofErr w:type="spellEnd"/>
      <w:r w:rsidRPr="00EF0FA6">
        <w:rPr>
          <w:rFonts w:ascii="Times New Roman" w:hAnsi="Times New Roman" w:cs="Times New Roman"/>
        </w:rPr>
        <w:t xml:space="preserve"> in </w:t>
      </w:r>
      <w:proofErr w:type="spellStart"/>
      <w:r w:rsidRPr="00EF0FA6">
        <w:rPr>
          <w:rFonts w:ascii="Times New Roman" w:hAnsi="Times New Roman" w:cs="Times New Roman"/>
        </w:rPr>
        <w:t>the</w:t>
      </w:r>
      <w:proofErr w:type="spellEnd"/>
      <w:r w:rsidRPr="00EF0FA6">
        <w:rPr>
          <w:rFonts w:ascii="Times New Roman" w:hAnsi="Times New Roman" w:cs="Times New Roman"/>
        </w:rPr>
        <w:t xml:space="preserve"> EU: </w:t>
      </w:r>
      <w:proofErr w:type="spellStart"/>
      <w:r w:rsidRPr="00EF0FA6">
        <w:rPr>
          <w:rFonts w:ascii="Times New Roman" w:hAnsi="Times New Roman" w:cs="Times New Roman"/>
        </w:rPr>
        <w:t>fatalities</w:t>
      </w:r>
      <w:proofErr w:type="spellEnd"/>
      <w:r w:rsidRPr="00EF0FA6">
        <w:rPr>
          <w:rFonts w:ascii="Times New Roman" w:hAnsi="Times New Roman" w:cs="Times New Roman"/>
        </w:rPr>
        <w:t xml:space="preserve"> </w:t>
      </w:r>
      <w:proofErr w:type="spellStart"/>
      <w:r w:rsidRPr="00EF0FA6">
        <w:rPr>
          <w:rFonts w:ascii="Times New Roman" w:hAnsi="Times New Roman" w:cs="Times New Roman"/>
        </w:rPr>
        <w:t>below</w:t>
      </w:r>
      <w:proofErr w:type="spellEnd"/>
      <w:r w:rsidRPr="00EF0FA6">
        <w:rPr>
          <w:rFonts w:ascii="Times New Roman" w:hAnsi="Times New Roman" w:cs="Times New Roman"/>
        </w:rPr>
        <w:t xml:space="preserve"> pre-</w:t>
      </w:r>
      <w:proofErr w:type="spellStart"/>
      <w:r w:rsidRPr="00EF0FA6">
        <w:rPr>
          <w:rFonts w:ascii="Times New Roman" w:hAnsi="Times New Roman" w:cs="Times New Roman"/>
        </w:rPr>
        <w:t>pandemic</w:t>
      </w:r>
      <w:proofErr w:type="spellEnd"/>
      <w:r w:rsidRPr="00EF0FA6">
        <w:rPr>
          <w:rFonts w:ascii="Times New Roman" w:hAnsi="Times New Roman" w:cs="Times New Roman"/>
        </w:rPr>
        <w:t xml:space="preserve"> </w:t>
      </w:r>
      <w:proofErr w:type="spellStart"/>
      <w:r w:rsidRPr="00EF0FA6">
        <w:rPr>
          <w:rFonts w:ascii="Times New Roman" w:hAnsi="Times New Roman" w:cs="Times New Roman"/>
        </w:rPr>
        <w:t>levels</w:t>
      </w:r>
      <w:proofErr w:type="spellEnd"/>
      <w:r w:rsidRPr="00EF0FA6">
        <w:rPr>
          <w:rFonts w:ascii="Times New Roman" w:hAnsi="Times New Roman" w:cs="Times New Roman"/>
        </w:rPr>
        <w:t xml:space="preserve"> </w:t>
      </w:r>
      <w:proofErr w:type="spellStart"/>
      <w:r w:rsidRPr="00EF0FA6">
        <w:rPr>
          <w:rFonts w:ascii="Times New Roman" w:hAnsi="Times New Roman" w:cs="Times New Roman"/>
        </w:rPr>
        <w:t>but</w:t>
      </w:r>
      <w:proofErr w:type="spellEnd"/>
      <w:r w:rsidRPr="00EF0FA6">
        <w:rPr>
          <w:rFonts w:ascii="Times New Roman" w:hAnsi="Times New Roman" w:cs="Times New Roman"/>
        </w:rPr>
        <w:t xml:space="preserve"> </w:t>
      </w:r>
      <w:proofErr w:type="spellStart"/>
      <w:r w:rsidRPr="00EF0FA6">
        <w:rPr>
          <w:rFonts w:ascii="Times New Roman" w:hAnsi="Times New Roman" w:cs="Times New Roman"/>
        </w:rPr>
        <w:t>progress</w:t>
      </w:r>
      <w:proofErr w:type="spellEnd"/>
      <w:r w:rsidRPr="00EF0FA6">
        <w:rPr>
          <w:rFonts w:ascii="Times New Roman" w:hAnsi="Times New Roman" w:cs="Times New Roman"/>
        </w:rPr>
        <w:t xml:space="preserve"> </w:t>
      </w:r>
      <w:proofErr w:type="spellStart"/>
      <w:r w:rsidRPr="00EF0FA6">
        <w:rPr>
          <w:rFonts w:ascii="Times New Roman" w:hAnsi="Times New Roman" w:cs="Times New Roman"/>
        </w:rPr>
        <w:t>remains</w:t>
      </w:r>
      <w:proofErr w:type="spellEnd"/>
      <w:r w:rsidRPr="00EF0FA6">
        <w:rPr>
          <w:rFonts w:ascii="Times New Roman" w:hAnsi="Times New Roman" w:cs="Times New Roman"/>
        </w:rPr>
        <w:t xml:space="preserve"> </w:t>
      </w:r>
      <w:proofErr w:type="spellStart"/>
      <w:r w:rsidRPr="00EF0FA6">
        <w:rPr>
          <w:rFonts w:ascii="Times New Roman" w:hAnsi="Times New Roman" w:cs="Times New Roman"/>
        </w:rPr>
        <w:t>too</w:t>
      </w:r>
      <w:proofErr w:type="spellEnd"/>
      <w:r w:rsidRPr="00EF0FA6">
        <w:rPr>
          <w:rFonts w:ascii="Times New Roman" w:hAnsi="Times New Roman" w:cs="Times New Roman"/>
        </w:rPr>
        <w:t xml:space="preserve"> </w:t>
      </w:r>
      <w:proofErr w:type="spellStart"/>
      <w:r w:rsidRPr="00EF0FA6">
        <w:rPr>
          <w:rFonts w:ascii="Times New Roman" w:hAnsi="Times New Roman" w:cs="Times New Roman"/>
        </w:rPr>
        <w:t>slow</w:t>
      </w:r>
      <w:proofErr w:type="spellEnd"/>
      <w:r w:rsidRPr="00EF0FA6">
        <w:rPr>
          <w:rFonts w:ascii="Times New Roman" w:hAnsi="Times New Roman" w:cs="Times New Roman"/>
        </w:rPr>
        <w:t>. Február 2023 [cit. 22. 03. 2023] Dostupné na internete</w:t>
      </w:r>
      <w:r w:rsidRPr="0075663E">
        <w:rPr>
          <w:rFonts w:ascii="Times New Roman" w:hAnsi="Times New Roman" w:cs="Times New Roman"/>
        </w:rPr>
        <w:t>:  &lt;</w:t>
      </w:r>
      <w:hyperlink r:id="rId4" w:history="1">
        <w:r w:rsidRPr="0075663E">
          <w:rPr>
            <w:rStyle w:val="Hypertextovprepojenie"/>
            <w:rFonts w:ascii="Times New Roman" w:hAnsi="Times New Roman" w:cs="Times New Roman"/>
            <w:color w:val="auto"/>
            <w:u w:val="none"/>
          </w:rPr>
          <w:t>https://ec.europa.eu/commission/presscorner/detail/en/ip_23_953</w:t>
        </w:r>
      </w:hyperlink>
      <w:r w:rsidRPr="0075663E">
        <w:rPr>
          <w:rFonts w:ascii="Times New Roman" w:hAnsi="Times New Roman" w:cs="Times New Roman"/>
        </w:rPr>
        <w:t xml:space="preserve">&gt; </w:t>
      </w:r>
      <w:r w:rsidR="0075663E">
        <w:rPr>
          <w:rFonts w:ascii="Times New Roman" w:hAnsi="Times New Roman" w:cs="Times New Roman"/>
        </w:rPr>
        <w:t>.</w:t>
      </w:r>
    </w:p>
  </w:footnote>
  <w:footnote w:id="5">
    <w:p w14:paraId="52B34399" w14:textId="22669316" w:rsidR="00650AB0" w:rsidRPr="0075663E" w:rsidRDefault="00650AB0" w:rsidP="00F23FAB">
      <w:pPr>
        <w:pStyle w:val="Textpoznmkypodiarou"/>
        <w:jc w:val="both"/>
        <w:rPr>
          <w:rFonts w:ascii="Times New Roman" w:hAnsi="Times New Roman" w:cs="Times New Roman"/>
        </w:rPr>
      </w:pPr>
      <w:r w:rsidRPr="0075663E">
        <w:rPr>
          <w:rStyle w:val="Odkaznapoznmkupodiarou"/>
          <w:rFonts w:ascii="Times New Roman" w:hAnsi="Times New Roman" w:cs="Times New Roman"/>
        </w:rPr>
        <w:footnoteRef/>
      </w:r>
      <w:r w:rsidRPr="0075663E">
        <w:rPr>
          <w:rFonts w:ascii="Times New Roman" w:hAnsi="Times New Roman" w:cs="Times New Roman"/>
        </w:rPr>
        <w:t xml:space="preserve"> </w:t>
      </w:r>
      <w:r w:rsidRPr="0075663E">
        <w:rPr>
          <w:rFonts w:ascii="Times New Roman" w:hAnsi="Times New Roman" w:cs="Times New Roman"/>
        </w:rPr>
        <w:t xml:space="preserve">2019 </w:t>
      </w:r>
      <w:proofErr w:type="spellStart"/>
      <w:r w:rsidRPr="0075663E">
        <w:rPr>
          <w:rFonts w:ascii="Times New Roman" w:hAnsi="Times New Roman" w:cs="Times New Roman"/>
        </w:rPr>
        <w:t>road</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safety</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statistics</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what</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is</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behind</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the</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figures</w:t>
      </w:r>
      <w:proofErr w:type="spellEnd"/>
      <w:r w:rsidRPr="0075663E">
        <w:rPr>
          <w:rFonts w:ascii="Times New Roman" w:hAnsi="Times New Roman" w:cs="Times New Roman"/>
        </w:rPr>
        <w:t xml:space="preserve">?. Jún 2020  </w:t>
      </w:r>
      <w:r w:rsidR="0075663E" w:rsidRPr="0075663E">
        <w:rPr>
          <w:rFonts w:ascii="Times New Roman" w:hAnsi="Times New Roman" w:cs="Times New Roman"/>
        </w:rPr>
        <w:t>[</w:t>
      </w:r>
      <w:r w:rsidRPr="0075663E">
        <w:rPr>
          <w:rFonts w:ascii="Times New Roman" w:hAnsi="Times New Roman" w:cs="Times New Roman"/>
        </w:rPr>
        <w:t>cit. 22. 03. 2023] Dostupné na internete:  &lt;</w:t>
      </w:r>
      <w:hyperlink r:id="rId5" w:history="1">
        <w:r w:rsidRPr="0075663E">
          <w:rPr>
            <w:rStyle w:val="Hypertextovprepojenie"/>
            <w:rFonts w:ascii="Times New Roman" w:hAnsi="Times New Roman" w:cs="Times New Roman"/>
            <w:color w:val="auto"/>
            <w:u w:val="none"/>
          </w:rPr>
          <w:t>https://ec.europa.eu/commission/presscorner/detail/en/qanda_20_1004</w:t>
        </w:r>
      </w:hyperlink>
      <w:r w:rsidRPr="0075663E">
        <w:rPr>
          <w:rStyle w:val="Hypertextovprepojenie"/>
          <w:rFonts w:ascii="Times New Roman" w:hAnsi="Times New Roman" w:cs="Times New Roman"/>
          <w:color w:val="auto"/>
          <w:u w:val="none"/>
        </w:rPr>
        <w:t>&gt;</w:t>
      </w:r>
      <w:r w:rsidRPr="0075663E">
        <w:rPr>
          <w:rFonts w:ascii="Times New Roman" w:hAnsi="Times New Roman" w:cs="Times New Roman"/>
        </w:rPr>
        <w:t xml:space="preserve"> </w:t>
      </w:r>
      <w:r w:rsidR="0075663E">
        <w:rPr>
          <w:rFonts w:ascii="Times New Roman" w:hAnsi="Times New Roman" w:cs="Times New Roman"/>
        </w:rPr>
        <w:t>.</w:t>
      </w:r>
    </w:p>
  </w:footnote>
  <w:footnote w:id="6">
    <w:p w14:paraId="42352ADC" w14:textId="38D15DCF" w:rsidR="00650AB0" w:rsidRPr="0075663E" w:rsidRDefault="00650AB0" w:rsidP="00F23FAB">
      <w:pPr>
        <w:pStyle w:val="Textpoznmkypodiarou"/>
        <w:jc w:val="both"/>
        <w:rPr>
          <w:rFonts w:ascii="Times New Roman" w:hAnsi="Times New Roman" w:cs="Times New Roman"/>
        </w:rPr>
      </w:pPr>
      <w:r w:rsidRPr="0075663E">
        <w:rPr>
          <w:rStyle w:val="Odkaznapoznmkupodiarou"/>
          <w:rFonts w:ascii="Times New Roman" w:hAnsi="Times New Roman" w:cs="Times New Roman"/>
        </w:rPr>
        <w:footnoteRef/>
      </w:r>
      <w:r w:rsidRPr="0075663E">
        <w:rPr>
          <w:rFonts w:ascii="Times New Roman" w:hAnsi="Times New Roman" w:cs="Times New Roman"/>
        </w:rPr>
        <w:t xml:space="preserve"> </w:t>
      </w:r>
      <w:r w:rsidRPr="0075663E">
        <w:rPr>
          <w:rFonts w:ascii="Times New Roman" w:hAnsi="Times New Roman" w:cs="Times New Roman"/>
        </w:rPr>
        <w:t xml:space="preserve">Road </w:t>
      </w:r>
      <w:proofErr w:type="spellStart"/>
      <w:r w:rsidRPr="0075663E">
        <w:rPr>
          <w:rFonts w:ascii="Times New Roman" w:hAnsi="Times New Roman" w:cs="Times New Roman"/>
        </w:rPr>
        <w:t>safety</w:t>
      </w:r>
      <w:proofErr w:type="spellEnd"/>
      <w:r w:rsidRPr="0075663E">
        <w:rPr>
          <w:rFonts w:ascii="Times New Roman" w:hAnsi="Times New Roman" w:cs="Times New Roman"/>
        </w:rPr>
        <w:t xml:space="preserve"> in </w:t>
      </w:r>
      <w:proofErr w:type="spellStart"/>
      <w:r w:rsidRPr="0075663E">
        <w:rPr>
          <w:rFonts w:ascii="Times New Roman" w:hAnsi="Times New Roman" w:cs="Times New Roman"/>
        </w:rPr>
        <w:t>the</w:t>
      </w:r>
      <w:proofErr w:type="spellEnd"/>
      <w:r w:rsidRPr="0075663E">
        <w:rPr>
          <w:rFonts w:ascii="Times New Roman" w:hAnsi="Times New Roman" w:cs="Times New Roman"/>
        </w:rPr>
        <w:t xml:space="preserve"> EU: </w:t>
      </w:r>
      <w:proofErr w:type="spellStart"/>
      <w:r w:rsidRPr="0075663E">
        <w:rPr>
          <w:rFonts w:ascii="Times New Roman" w:hAnsi="Times New Roman" w:cs="Times New Roman"/>
        </w:rPr>
        <w:t>fatalities</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below</w:t>
      </w:r>
      <w:proofErr w:type="spellEnd"/>
      <w:r w:rsidRPr="0075663E">
        <w:rPr>
          <w:rFonts w:ascii="Times New Roman" w:hAnsi="Times New Roman" w:cs="Times New Roman"/>
        </w:rPr>
        <w:t xml:space="preserve"> pre-</w:t>
      </w:r>
      <w:proofErr w:type="spellStart"/>
      <w:r w:rsidRPr="0075663E">
        <w:rPr>
          <w:rFonts w:ascii="Times New Roman" w:hAnsi="Times New Roman" w:cs="Times New Roman"/>
        </w:rPr>
        <w:t>pandemic</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levels</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but</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progress</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remains</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too</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slow</w:t>
      </w:r>
      <w:proofErr w:type="spellEnd"/>
      <w:r w:rsidRPr="0075663E">
        <w:rPr>
          <w:rFonts w:ascii="Times New Roman" w:hAnsi="Times New Roman" w:cs="Times New Roman"/>
        </w:rPr>
        <w:t>. Február 2023 [cit. 22. 03. 2023] Dostupné na internete:  &lt;</w:t>
      </w:r>
      <w:hyperlink r:id="rId6" w:history="1">
        <w:r w:rsidRPr="0075663E">
          <w:rPr>
            <w:rStyle w:val="Hypertextovprepojenie"/>
            <w:rFonts w:ascii="Times New Roman" w:hAnsi="Times New Roman" w:cs="Times New Roman"/>
            <w:color w:val="auto"/>
            <w:u w:val="none"/>
          </w:rPr>
          <w:t>https://ec.europa.eu/commission/presscorner/detail/en/ip_23_953</w:t>
        </w:r>
      </w:hyperlink>
      <w:r w:rsidRPr="0075663E">
        <w:rPr>
          <w:rFonts w:ascii="Times New Roman" w:hAnsi="Times New Roman" w:cs="Times New Roman"/>
        </w:rPr>
        <w:t xml:space="preserve">&gt; </w:t>
      </w:r>
    </w:p>
  </w:footnote>
  <w:footnote w:id="7">
    <w:p w14:paraId="1BFE7B0C" w14:textId="578910AC" w:rsidR="00650AB0" w:rsidRPr="0075663E" w:rsidRDefault="00650AB0" w:rsidP="00F23FAB">
      <w:pPr>
        <w:pStyle w:val="Textpoznmkypodiarou"/>
        <w:jc w:val="both"/>
        <w:rPr>
          <w:rFonts w:ascii="Times New Roman" w:hAnsi="Times New Roman" w:cs="Times New Roman"/>
        </w:rPr>
      </w:pPr>
      <w:r w:rsidRPr="0075663E">
        <w:rPr>
          <w:rStyle w:val="Odkaznapoznmkupodiarou"/>
          <w:rFonts w:ascii="Times New Roman" w:hAnsi="Times New Roman" w:cs="Times New Roman"/>
        </w:rPr>
        <w:footnoteRef/>
      </w:r>
      <w:r w:rsidRPr="0075663E">
        <w:rPr>
          <w:rFonts w:ascii="Times New Roman" w:hAnsi="Times New Roman" w:cs="Times New Roman"/>
        </w:rPr>
        <w:t xml:space="preserve"> </w:t>
      </w:r>
      <w:r w:rsidRPr="0075663E">
        <w:rPr>
          <w:rFonts w:ascii="Times New Roman" w:hAnsi="Times New Roman" w:cs="Times New Roman"/>
        </w:rPr>
        <w:t xml:space="preserve">CBE – </w:t>
      </w:r>
      <w:proofErr w:type="spellStart"/>
      <w:r w:rsidRPr="0075663E">
        <w:rPr>
          <w:rFonts w:ascii="Times New Roman" w:hAnsi="Times New Roman" w:cs="Times New Roman"/>
        </w:rPr>
        <w:t>Cross</w:t>
      </w:r>
      <w:proofErr w:type="spellEnd"/>
      <w:r w:rsidRPr="0075663E">
        <w:rPr>
          <w:rFonts w:ascii="Times New Roman" w:hAnsi="Times New Roman" w:cs="Times New Roman"/>
        </w:rPr>
        <w:t xml:space="preserve"> - </w:t>
      </w:r>
      <w:proofErr w:type="spellStart"/>
      <w:r w:rsidRPr="0075663E">
        <w:rPr>
          <w:rFonts w:ascii="Times New Roman" w:hAnsi="Times New Roman" w:cs="Times New Roman"/>
        </w:rPr>
        <w:t>Border</w:t>
      </w:r>
      <w:proofErr w:type="spellEnd"/>
      <w:r w:rsidRPr="0075663E">
        <w:rPr>
          <w:rFonts w:ascii="Times New Roman" w:hAnsi="Times New Roman" w:cs="Times New Roman"/>
        </w:rPr>
        <w:t xml:space="preserve"> </w:t>
      </w:r>
      <w:proofErr w:type="spellStart"/>
      <w:r w:rsidRPr="0075663E">
        <w:rPr>
          <w:rFonts w:ascii="Times New Roman" w:hAnsi="Times New Roman" w:cs="Times New Roman"/>
        </w:rPr>
        <w:t>Enforcement</w:t>
      </w:r>
      <w:proofErr w:type="spellEnd"/>
      <w:r w:rsidRPr="0075663E">
        <w:rPr>
          <w:rFonts w:ascii="Times New Roman" w:hAnsi="Times New Roman" w:cs="Times New Roman"/>
        </w:rPr>
        <w:t xml:space="preserve"> – cezhraničné presadzovanie pravidiel </w:t>
      </w:r>
      <w:r w:rsidR="0075663E">
        <w:rPr>
          <w:rFonts w:ascii="Times New Roman" w:hAnsi="Times New Roman" w:cs="Times New Roman"/>
        </w:rPr>
        <w:t>.</w:t>
      </w:r>
    </w:p>
  </w:footnote>
  <w:footnote w:id="8">
    <w:p w14:paraId="751FFB35" w14:textId="4A883EB2" w:rsidR="00650AB0" w:rsidRPr="003366F4" w:rsidRDefault="00650AB0" w:rsidP="001E47F4">
      <w:pPr>
        <w:pStyle w:val="Textpoznmkypodiarou"/>
        <w:jc w:val="both"/>
      </w:pPr>
      <w:r>
        <w:rPr>
          <w:rStyle w:val="Odkaznapoznmkupodiarou"/>
        </w:rPr>
        <w:footnoteRef/>
      </w:r>
      <w:r>
        <w:t xml:space="preserve"> </w:t>
      </w:r>
      <w:proofErr w:type="spellStart"/>
      <w:r w:rsidRPr="00D662F6">
        <w:rPr>
          <w:rFonts w:ascii="Times New Roman" w:hAnsi="Times New Roman" w:cs="Times New Roman"/>
        </w:rPr>
        <w:t>Communication</w:t>
      </w:r>
      <w:proofErr w:type="spellEnd"/>
      <w:r>
        <w:rPr>
          <w:rFonts w:ascii="Times New Roman" w:hAnsi="Times New Roman" w:cs="Times New Roman"/>
        </w:rPr>
        <w:t xml:space="preserve"> </w:t>
      </w:r>
      <w:proofErr w:type="spellStart"/>
      <w:r>
        <w:rPr>
          <w:rFonts w:ascii="Times New Roman" w:hAnsi="Times New Roman" w:cs="Times New Roman"/>
        </w:rPr>
        <w:t>from</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Commission</w:t>
      </w:r>
      <w:proofErr w:type="spellEnd"/>
      <w:r>
        <w:rPr>
          <w:rFonts w:ascii="Times New Roman" w:hAnsi="Times New Roman" w:cs="Times New Roman"/>
        </w:rPr>
        <w:t xml:space="preserve"> to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European</w:t>
      </w:r>
      <w:proofErr w:type="spellEnd"/>
      <w:r>
        <w:rPr>
          <w:rFonts w:ascii="Times New Roman" w:hAnsi="Times New Roman" w:cs="Times New Roman"/>
        </w:rPr>
        <w:t xml:space="preserve"> </w:t>
      </w:r>
      <w:proofErr w:type="spellStart"/>
      <w:r>
        <w:rPr>
          <w:rFonts w:ascii="Times New Roman" w:hAnsi="Times New Roman" w:cs="Times New Roman"/>
        </w:rPr>
        <w:t>Parliament</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Council</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European</w:t>
      </w:r>
      <w:proofErr w:type="spellEnd"/>
      <w:r>
        <w:rPr>
          <w:rFonts w:ascii="Times New Roman" w:hAnsi="Times New Roman" w:cs="Times New Roman"/>
        </w:rPr>
        <w:t xml:space="preserve"> </w:t>
      </w:r>
      <w:proofErr w:type="spellStart"/>
      <w:r>
        <w:rPr>
          <w:rFonts w:ascii="Times New Roman" w:hAnsi="Times New Roman" w:cs="Times New Roman"/>
        </w:rPr>
        <w:t>Economic</w:t>
      </w:r>
      <w:proofErr w:type="spellEnd"/>
      <w:r>
        <w:rPr>
          <w:rFonts w:ascii="Times New Roman" w:hAnsi="Times New Roman" w:cs="Times New Roman"/>
        </w:rPr>
        <w:t xml:space="preserve"> and </w:t>
      </w:r>
      <w:proofErr w:type="spellStart"/>
      <w:r>
        <w:rPr>
          <w:rFonts w:ascii="Times New Roman" w:hAnsi="Times New Roman" w:cs="Times New Roman"/>
        </w:rPr>
        <w:t>Social</w:t>
      </w:r>
      <w:proofErr w:type="spellEnd"/>
      <w:r>
        <w:rPr>
          <w:rFonts w:ascii="Times New Roman" w:hAnsi="Times New Roman" w:cs="Times New Roman"/>
        </w:rPr>
        <w:t xml:space="preserve"> </w:t>
      </w:r>
      <w:proofErr w:type="spellStart"/>
      <w:r>
        <w:rPr>
          <w:rFonts w:ascii="Times New Roman" w:hAnsi="Times New Roman" w:cs="Times New Roman"/>
        </w:rPr>
        <w:t>Committee</w:t>
      </w:r>
      <w:proofErr w:type="spellEnd"/>
      <w:r>
        <w:rPr>
          <w:rFonts w:ascii="Times New Roman" w:hAnsi="Times New Roman" w:cs="Times New Roman"/>
        </w:rPr>
        <w:t xml:space="preserve"> and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Committee</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Region</w:t>
      </w:r>
      <w:proofErr w:type="spellEnd"/>
      <w:r>
        <w:rPr>
          <w:rFonts w:ascii="Times New Roman" w:hAnsi="Times New Roman" w:cs="Times New Roman"/>
        </w:rPr>
        <w:t xml:space="preserve">. </w:t>
      </w:r>
      <w:r>
        <w:t xml:space="preserve"> </w:t>
      </w:r>
      <w:r w:rsidRPr="00D662F6">
        <w:rPr>
          <w:rFonts w:ascii="Times New Roman" w:hAnsi="Times New Roman" w:cs="Times New Roman"/>
        </w:rPr>
        <w:t xml:space="preserve">Máj </w:t>
      </w:r>
      <w:r>
        <w:rPr>
          <w:rFonts w:ascii="Times New Roman" w:hAnsi="Times New Roman" w:cs="Times New Roman"/>
        </w:rPr>
        <w:t>2018</w:t>
      </w:r>
      <w:r w:rsidRPr="00D662F6">
        <w:rPr>
          <w:rFonts w:ascii="Times New Roman" w:hAnsi="Times New Roman" w:cs="Times New Roman"/>
        </w:rPr>
        <w:t xml:space="preserve">  [cit. 22. 03. 2023] Dostupné na internete:  </w:t>
      </w:r>
      <w:r w:rsidRPr="003366F4">
        <w:rPr>
          <w:rFonts w:ascii="Times New Roman" w:hAnsi="Times New Roman" w:cs="Times New Roman"/>
        </w:rPr>
        <w:t>&lt;</w:t>
      </w:r>
      <w:hyperlink r:id="rId7" w:history="1">
        <w:r w:rsidRPr="003366F4">
          <w:rPr>
            <w:rStyle w:val="Hypertextovprepojenie"/>
            <w:rFonts w:ascii="Times New Roman" w:hAnsi="Times New Roman" w:cs="Times New Roman"/>
            <w:color w:val="auto"/>
            <w:u w:val="none"/>
          </w:rPr>
          <w:t>https://eur-lex.europa.eu/resource.html?uri=cellar%3A0e8b694e-59b5-11e8-ab41-01aa75ed71a1.0003.02/DOC_1&amp;format=PDF</w:t>
        </w:r>
      </w:hyperlink>
      <w:r w:rsidRPr="003366F4">
        <w:t>&gt;</w:t>
      </w:r>
      <w:r w:rsidR="003366F4">
        <w:t>.</w:t>
      </w:r>
    </w:p>
  </w:footnote>
  <w:footnote w:id="9">
    <w:p w14:paraId="069E08C0" w14:textId="07E02860" w:rsidR="00650AB0" w:rsidRDefault="00650AB0">
      <w:pPr>
        <w:pStyle w:val="Textpoznmkypodiarou"/>
      </w:pPr>
      <w:r>
        <w:rPr>
          <w:rStyle w:val="Odkaznapoznmkupodiarou"/>
        </w:rPr>
        <w:footnoteRef/>
      </w:r>
      <w:r>
        <w:t xml:space="preserve"> </w:t>
      </w:r>
      <w:r w:rsidRPr="00522D60">
        <w:rPr>
          <w:rFonts w:ascii="Times New Roman" w:hAnsi="Times New Roman" w:cs="Times New Roman"/>
        </w:rPr>
        <w:t>ZFEÚ – Zmluva o fungovaní Európskej únie</w:t>
      </w:r>
      <w:r w:rsidR="003366F4">
        <w:rPr>
          <w:rFonts w:ascii="Times New Roman" w:hAnsi="Times New Roman" w:cs="Times New Roman"/>
        </w:rPr>
        <w:t>.</w:t>
      </w:r>
    </w:p>
  </w:footnote>
  <w:footnote w:id="10">
    <w:p w14:paraId="01A32D09" w14:textId="3D79A8B1" w:rsidR="00650AB0" w:rsidRPr="00F23FAB" w:rsidRDefault="00650AB0" w:rsidP="00F23FAB">
      <w:pPr>
        <w:pStyle w:val="Textpoznmkypodiarou"/>
        <w:jc w:val="both"/>
        <w:rPr>
          <w:rFonts w:ascii="Times New Roman" w:hAnsi="Times New Roman" w:cs="Times New Roman"/>
        </w:rPr>
      </w:pPr>
      <w:r w:rsidRPr="00F23FAB">
        <w:rPr>
          <w:rStyle w:val="Odkaznapoznmkupodiarou"/>
          <w:rFonts w:ascii="Times New Roman" w:hAnsi="Times New Roman" w:cs="Times New Roman"/>
        </w:rPr>
        <w:footnoteRef/>
      </w:r>
      <w:r w:rsidRPr="00F23FAB">
        <w:rPr>
          <w:rFonts w:ascii="Times New Roman" w:hAnsi="Times New Roman" w:cs="Times New Roman"/>
        </w:rPr>
        <w:t xml:space="preserve"> </w:t>
      </w:r>
      <w:r w:rsidRPr="00F23FAB">
        <w:rPr>
          <w:rFonts w:ascii="Times New Roman" w:hAnsi="Times New Roman" w:cs="Times New Roman"/>
        </w:rPr>
        <w:t xml:space="preserve">Bulletin Odboru dokumentácie, </w:t>
      </w:r>
      <w:proofErr w:type="spellStart"/>
      <w:r w:rsidRPr="00F23FAB">
        <w:rPr>
          <w:rFonts w:ascii="Times New Roman" w:hAnsi="Times New Roman" w:cs="Times New Roman"/>
        </w:rPr>
        <w:t>analytiky</w:t>
      </w:r>
      <w:proofErr w:type="spellEnd"/>
      <w:r w:rsidRPr="00F23FAB">
        <w:rPr>
          <w:rFonts w:ascii="Times New Roman" w:hAnsi="Times New Roman" w:cs="Times New Roman"/>
        </w:rPr>
        <w:t xml:space="preserve"> a zahraničných vzťahov Najvyššieho súdu Slovenskej republiky. 2014  [cit. 22. 03. 2023] Dostupné na internete:  &lt;</w:t>
      </w:r>
      <w:hyperlink r:id="rId8" w:history="1">
        <w:r w:rsidRPr="003366F4">
          <w:rPr>
            <w:rStyle w:val="Hypertextovprepojenie"/>
            <w:rFonts w:ascii="Times New Roman" w:hAnsi="Times New Roman" w:cs="Times New Roman"/>
            <w:color w:val="auto"/>
            <w:u w:val="none"/>
          </w:rPr>
          <w:t>https://www.nsud.sk/data/att/67d/69127.085474.pdf</w:t>
        </w:r>
      </w:hyperlink>
      <w:r w:rsidRPr="003366F4">
        <w:rPr>
          <w:rFonts w:ascii="Times New Roman" w:hAnsi="Times New Roman" w:cs="Times New Roman"/>
        </w:rPr>
        <w:t>&gt;</w:t>
      </w:r>
      <w:r w:rsidR="003366F4">
        <w:rPr>
          <w:rFonts w:ascii="Times New Roman" w:hAnsi="Times New Roman" w:cs="Times New Roman"/>
        </w:rPr>
        <w:t>.</w:t>
      </w:r>
    </w:p>
  </w:footnote>
  <w:footnote w:id="11">
    <w:p w14:paraId="28042621" w14:textId="00A630CD" w:rsidR="00650AB0" w:rsidRDefault="00650AB0" w:rsidP="001E47F4">
      <w:pPr>
        <w:jc w:val="both"/>
      </w:pPr>
      <w:r w:rsidRPr="003A2D2B">
        <w:rPr>
          <w:rStyle w:val="Odkaznapoznmkupodiarou"/>
          <w:rFonts w:ascii="Times New Roman" w:hAnsi="Times New Roman" w:cs="Times New Roman"/>
          <w:sz w:val="20"/>
          <w:szCs w:val="20"/>
        </w:rPr>
        <w:footnoteRef/>
      </w:r>
      <w:r w:rsidRPr="003A2D2B">
        <w:rPr>
          <w:rFonts w:ascii="Times New Roman" w:hAnsi="Times New Roman" w:cs="Times New Roman"/>
          <w:sz w:val="20"/>
          <w:szCs w:val="20"/>
        </w:rPr>
        <w:t xml:space="preserve"> </w:t>
      </w:r>
      <w:r w:rsidRPr="003A2D2B">
        <w:rPr>
          <w:rFonts w:ascii="Times New Roman" w:hAnsi="Times New Roman" w:cs="Times New Roman"/>
          <w:sz w:val="20"/>
          <w:szCs w:val="20"/>
        </w:rPr>
        <w:t xml:space="preserve">K histórii </w:t>
      </w:r>
      <w:r w:rsidR="00CD4C9A">
        <w:rPr>
          <w:rFonts w:ascii="Times New Roman" w:hAnsi="Times New Roman" w:cs="Times New Roman"/>
          <w:sz w:val="20"/>
          <w:szCs w:val="20"/>
        </w:rPr>
        <w:t xml:space="preserve">IS </w:t>
      </w:r>
      <w:r w:rsidRPr="003A2D2B">
        <w:rPr>
          <w:rFonts w:ascii="Times New Roman" w:hAnsi="Times New Roman" w:cs="Times New Roman"/>
          <w:sz w:val="20"/>
          <w:szCs w:val="20"/>
        </w:rPr>
        <w:t>EUCARIS treba ozrejmiť, že ide o informačný systém, ktorý bol pôvodne vytvorený ako informačný systém pre výmenu informácií o vozidlách a vodičských preukazoch z národných registrov členských štátov EÚ,</w:t>
      </w:r>
      <w:r w:rsidRPr="0043631C">
        <w:rPr>
          <w:rFonts w:ascii="Times New Roman" w:hAnsi="Times New Roman" w:cs="Times New Roman"/>
          <w:sz w:val="20"/>
          <w:szCs w:val="20"/>
        </w:rPr>
        <w:t xml:space="preserve"> ktoré ho využív</w:t>
      </w:r>
      <w:r>
        <w:rPr>
          <w:rFonts w:ascii="Times New Roman" w:hAnsi="Times New Roman" w:cs="Times New Roman"/>
          <w:sz w:val="20"/>
          <w:szCs w:val="20"/>
        </w:rPr>
        <w:t>ali na základe Zmluvy o EUCARIS</w:t>
      </w:r>
      <w:r w:rsidRPr="0043631C">
        <w:rPr>
          <w:rFonts w:ascii="Times New Roman" w:hAnsi="Times New Roman" w:cs="Times New Roman"/>
          <w:sz w:val="20"/>
          <w:szCs w:val="20"/>
        </w:rPr>
        <w:t xml:space="preserve">. Neskôr sa stal </w:t>
      </w:r>
      <w:r w:rsidR="00CD4C9A">
        <w:rPr>
          <w:rFonts w:ascii="Times New Roman" w:hAnsi="Times New Roman" w:cs="Times New Roman"/>
          <w:sz w:val="20"/>
          <w:szCs w:val="20"/>
        </w:rPr>
        <w:t xml:space="preserve">IS </w:t>
      </w:r>
      <w:r w:rsidRPr="0043631C">
        <w:rPr>
          <w:rFonts w:ascii="Times New Roman" w:hAnsi="Times New Roman" w:cs="Times New Roman"/>
          <w:sz w:val="20"/>
          <w:szCs w:val="20"/>
        </w:rPr>
        <w:t>EUCARIS technickou platformou EÚ pre riešenie otázok výmeny informácií o vozidlách, držiteľoch/majiteľoch vo</w:t>
      </w:r>
      <w:r w:rsidR="00CD4C9A">
        <w:rPr>
          <w:rFonts w:ascii="Times New Roman" w:hAnsi="Times New Roman" w:cs="Times New Roman"/>
          <w:sz w:val="20"/>
          <w:szCs w:val="20"/>
        </w:rPr>
        <w:t>zidiel, vodičských oprávnení na základe ďalších</w:t>
      </w:r>
      <w:r w:rsidRPr="0043631C">
        <w:rPr>
          <w:rFonts w:ascii="Times New Roman" w:hAnsi="Times New Roman" w:cs="Times New Roman"/>
          <w:sz w:val="20"/>
          <w:szCs w:val="20"/>
        </w:rPr>
        <w:t xml:space="preserve"> legislatívnych aktov EÚ.</w:t>
      </w:r>
      <w:r w:rsidR="00CD4C9A">
        <w:rPr>
          <w:rFonts w:ascii="Times New Roman" w:hAnsi="Times New Roman" w:cs="Times New Roman"/>
          <w:sz w:val="20"/>
          <w:szCs w:val="20"/>
        </w:rPr>
        <w:t xml:space="preserve"> Fungujúci IS</w:t>
      </w:r>
      <w:r w:rsidRPr="0043631C">
        <w:rPr>
          <w:rFonts w:ascii="Times New Roman" w:hAnsi="Times New Roman" w:cs="Times New Roman"/>
          <w:sz w:val="20"/>
          <w:szCs w:val="20"/>
        </w:rPr>
        <w:t xml:space="preserve"> EUCARIS nevystupuje ako centrálna databáza, ale ako systém, ktorý umožňuje participujúcim krajinám- vstupovať do evidencie vozidiel a evidencie vodičských preukazov iných participujúcich krajín. Každá zúčastnená krajina ostáva naďalej zodpovedná za vlastné vnútroštátne evidencie. </w:t>
      </w:r>
      <w:r w:rsidR="00CD4C9A">
        <w:rPr>
          <w:rFonts w:ascii="Times New Roman" w:hAnsi="Times New Roman" w:cs="Times New Roman"/>
          <w:sz w:val="20"/>
          <w:szCs w:val="20"/>
        </w:rPr>
        <w:t xml:space="preserve">IS </w:t>
      </w:r>
      <w:r w:rsidRPr="0043631C">
        <w:rPr>
          <w:rFonts w:ascii="Times New Roman" w:hAnsi="Times New Roman" w:cs="Times New Roman"/>
          <w:sz w:val="20"/>
          <w:szCs w:val="20"/>
        </w:rPr>
        <w:t>EUCARIS predstavuje len ústredný uzol elektronickej výmeny dát z oblasti cestnej dopravy.</w:t>
      </w:r>
    </w:p>
  </w:footnote>
  <w:footnote w:id="12">
    <w:p w14:paraId="0FD1E863" w14:textId="28E33F56" w:rsidR="00650AB0" w:rsidRDefault="00650AB0">
      <w:pPr>
        <w:pStyle w:val="Textpoznmkypodiarou"/>
      </w:pPr>
      <w:r>
        <w:rPr>
          <w:rStyle w:val="Odkaznapoznmkupodiarou"/>
        </w:rPr>
        <w:footnoteRef/>
      </w:r>
      <w:r>
        <w:t xml:space="preserve"> </w:t>
      </w:r>
      <w:proofErr w:type="spellStart"/>
      <w:r w:rsidRPr="003A2D2B">
        <w:rPr>
          <w:rFonts w:ascii="Times New Roman" w:hAnsi="Times New Roman" w:cs="Times New Roman"/>
        </w:rPr>
        <w:t>Revision</w:t>
      </w:r>
      <w:proofErr w:type="spellEnd"/>
      <w:r w:rsidRPr="003A2D2B">
        <w:rPr>
          <w:rFonts w:ascii="Times New Roman" w:hAnsi="Times New Roman" w:cs="Times New Roman"/>
        </w:rPr>
        <w:t xml:space="preserve"> of </w:t>
      </w:r>
      <w:proofErr w:type="spellStart"/>
      <w:r w:rsidRPr="003A2D2B">
        <w:rPr>
          <w:rFonts w:ascii="Times New Roman" w:hAnsi="Times New Roman" w:cs="Times New Roman"/>
        </w:rPr>
        <w:t>Directive</w:t>
      </w:r>
      <w:proofErr w:type="spellEnd"/>
      <w:r w:rsidRPr="003A2D2B">
        <w:rPr>
          <w:rFonts w:ascii="Times New Roman" w:hAnsi="Times New Roman" w:cs="Times New Roman"/>
        </w:rPr>
        <w:t xml:space="preserve"> on </w:t>
      </w:r>
      <w:proofErr w:type="spellStart"/>
      <w:r w:rsidRPr="003A2D2B">
        <w:rPr>
          <w:rFonts w:ascii="Times New Roman" w:hAnsi="Times New Roman" w:cs="Times New Roman"/>
        </w:rPr>
        <w:t>cross-border</w:t>
      </w:r>
      <w:proofErr w:type="spellEnd"/>
      <w:r w:rsidRPr="003A2D2B">
        <w:rPr>
          <w:rFonts w:ascii="Times New Roman" w:hAnsi="Times New Roman" w:cs="Times New Roman"/>
        </w:rPr>
        <w:t xml:space="preserve"> </w:t>
      </w:r>
      <w:proofErr w:type="spellStart"/>
      <w:r w:rsidRPr="003A2D2B">
        <w:rPr>
          <w:rFonts w:ascii="Times New Roman" w:hAnsi="Times New Roman" w:cs="Times New Roman"/>
        </w:rPr>
        <w:t>exchange</w:t>
      </w:r>
      <w:proofErr w:type="spellEnd"/>
      <w:r w:rsidRPr="003A2D2B">
        <w:rPr>
          <w:rFonts w:ascii="Times New Roman" w:hAnsi="Times New Roman" w:cs="Times New Roman"/>
        </w:rPr>
        <w:t xml:space="preserve"> of </w:t>
      </w:r>
      <w:proofErr w:type="spellStart"/>
      <w:r w:rsidRPr="003A2D2B">
        <w:rPr>
          <w:rFonts w:ascii="Times New Roman" w:hAnsi="Times New Roman" w:cs="Times New Roman"/>
        </w:rPr>
        <w:t>information</w:t>
      </w:r>
      <w:proofErr w:type="spellEnd"/>
      <w:r w:rsidRPr="003A2D2B">
        <w:rPr>
          <w:rFonts w:ascii="Times New Roman" w:hAnsi="Times New Roman" w:cs="Times New Roman"/>
        </w:rPr>
        <w:t xml:space="preserve"> on </w:t>
      </w:r>
      <w:proofErr w:type="spellStart"/>
      <w:r w:rsidRPr="003A2D2B">
        <w:rPr>
          <w:rFonts w:ascii="Times New Roman" w:hAnsi="Times New Roman" w:cs="Times New Roman"/>
        </w:rPr>
        <w:t>road</w:t>
      </w:r>
      <w:proofErr w:type="spellEnd"/>
      <w:r w:rsidRPr="003A2D2B">
        <w:rPr>
          <w:rFonts w:ascii="Times New Roman" w:hAnsi="Times New Roman" w:cs="Times New Roman"/>
        </w:rPr>
        <w:t xml:space="preserve"> </w:t>
      </w:r>
      <w:proofErr w:type="spellStart"/>
      <w:r w:rsidRPr="003A2D2B">
        <w:rPr>
          <w:rFonts w:ascii="Times New Roman" w:hAnsi="Times New Roman" w:cs="Times New Roman"/>
        </w:rPr>
        <w:t>safety</w:t>
      </w:r>
      <w:proofErr w:type="spellEnd"/>
      <w:r w:rsidRPr="003A2D2B">
        <w:rPr>
          <w:rFonts w:ascii="Times New Roman" w:hAnsi="Times New Roman" w:cs="Times New Roman"/>
        </w:rPr>
        <w:t xml:space="preserve"> </w:t>
      </w:r>
      <w:proofErr w:type="spellStart"/>
      <w:r w:rsidRPr="003A2D2B">
        <w:rPr>
          <w:rFonts w:ascii="Times New Roman" w:hAnsi="Times New Roman" w:cs="Times New Roman"/>
        </w:rPr>
        <w:t>related</w:t>
      </w:r>
      <w:proofErr w:type="spellEnd"/>
      <w:r w:rsidRPr="003A2D2B">
        <w:rPr>
          <w:rFonts w:ascii="Times New Roman" w:hAnsi="Times New Roman" w:cs="Times New Roman"/>
        </w:rPr>
        <w:t xml:space="preserve"> </w:t>
      </w:r>
      <w:proofErr w:type="spellStart"/>
      <w:r w:rsidRPr="003A2D2B">
        <w:rPr>
          <w:rFonts w:ascii="Times New Roman" w:hAnsi="Times New Roman" w:cs="Times New Roman"/>
        </w:rPr>
        <w:t>traffic</w:t>
      </w:r>
      <w:proofErr w:type="spellEnd"/>
      <w:r w:rsidRPr="003A2D2B">
        <w:rPr>
          <w:rFonts w:ascii="Times New Roman" w:hAnsi="Times New Roman" w:cs="Times New Roman"/>
        </w:rPr>
        <w:t xml:space="preserve"> </w:t>
      </w:r>
      <w:proofErr w:type="spellStart"/>
      <w:r w:rsidRPr="003A2D2B">
        <w:rPr>
          <w:rFonts w:ascii="Times New Roman" w:hAnsi="Times New Roman" w:cs="Times New Roman"/>
        </w:rPr>
        <w:t>offences</w:t>
      </w:r>
      <w:proofErr w:type="spellEnd"/>
      <w:r w:rsidRPr="003A2D2B">
        <w:rPr>
          <w:rFonts w:ascii="Times New Roman" w:hAnsi="Times New Roman" w:cs="Times New Roman"/>
        </w:rPr>
        <w:t xml:space="preserve">.  [cit. 22. 03. </w:t>
      </w:r>
      <w:r w:rsidRPr="003A2D2B">
        <w:rPr>
          <w:rFonts w:ascii="Times New Roman" w:hAnsi="Times New Roman" w:cs="Times New Roman"/>
        </w:rPr>
        <w:t xml:space="preserve">2023] Dostupné na internete:  </w:t>
      </w:r>
      <w:r w:rsidRPr="002C6156">
        <w:rPr>
          <w:rFonts w:ascii="Times New Roman" w:hAnsi="Times New Roman" w:cs="Times New Roman"/>
        </w:rPr>
        <w:t>&lt;</w:t>
      </w:r>
      <w:hyperlink r:id="rId9" w:history="1">
        <w:r w:rsidRPr="002C6156">
          <w:rPr>
            <w:rStyle w:val="Hypertextovprepojenie"/>
            <w:rFonts w:ascii="Times New Roman" w:hAnsi="Times New Roman" w:cs="Times New Roman"/>
            <w:color w:val="auto"/>
            <w:u w:val="none"/>
          </w:rPr>
          <w:t>https://road-safety.transport.ec.europa.eu/eu-road-safety-policy/priorities/safe-road-use/enforcement/revision-directive-cross-border-exchange-information-road-safety-related-traffic-offences_en</w:t>
        </w:r>
      </w:hyperlink>
      <w:r w:rsidRPr="003A2D2B">
        <w:rPr>
          <w:rFonts w:ascii="Times New Roman" w:hAnsi="Times New Roman" w:cs="Times New Roman"/>
        </w:rPr>
        <w:t>&gt;</w:t>
      </w:r>
      <w:r w:rsidR="002C6156">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C54"/>
    <w:multiLevelType w:val="hybridMultilevel"/>
    <w:tmpl w:val="D87CCE2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4FD7C97"/>
    <w:multiLevelType w:val="multilevel"/>
    <w:tmpl w:val="18CC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32D74"/>
    <w:multiLevelType w:val="hybridMultilevel"/>
    <w:tmpl w:val="8BF6E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9D69FF"/>
    <w:multiLevelType w:val="hybridMultilevel"/>
    <w:tmpl w:val="596298F2"/>
    <w:lvl w:ilvl="0" w:tplc="0D001C1A">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021EF"/>
    <w:multiLevelType w:val="multilevel"/>
    <w:tmpl w:val="1B54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66961"/>
    <w:multiLevelType w:val="hybridMultilevel"/>
    <w:tmpl w:val="D34C9D48"/>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2BA803FE"/>
    <w:multiLevelType w:val="hybridMultilevel"/>
    <w:tmpl w:val="DAEAE1FE"/>
    <w:lvl w:ilvl="0" w:tplc="E00E2E1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61594C2A"/>
    <w:multiLevelType w:val="hybridMultilevel"/>
    <w:tmpl w:val="443E902A"/>
    <w:lvl w:ilvl="0" w:tplc="212030F4">
      <w:start w:val="1"/>
      <w:numFmt w:val="decimal"/>
      <w:lvlText w:val="%1.)"/>
      <w:lvlJc w:val="left"/>
      <w:pPr>
        <w:ind w:left="4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636EF8"/>
    <w:multiLevelType w:val="multilevel"/>
    <w:tmpl w:val="F384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666A7"/>
    <w:multiLevelType w:val="multilevel"/>
    <w:tmpl w:val="B7A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A509C"/>
    <w:multiLevelType w:val="hybridMultilevel"/>
    <w:tmpl w:val="8B4ED89E"/>
    <w:lvl w:ilvl="0" w:tplc="212030F4">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1" w15:restartNumberingAfterBreak="0">
    <w:nsid w:val="6FEF72AC"/>
    <w:multiLevelType w:val="hybridMultilevel"/>
    <w:tmpl w:val="737CE648"/>
    <w:lvl w:ilvl="0" w:tplc="7D48C9E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748316A1"/>
    <w:multiLevelType w:val="hybridMultilevel"/>
    <w:tmpl w:val="B71EA13A"/>
    <w:lvl w:ilvl="0" w:tplc="E00E2E12">
      <w:start w:val="1"/>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5"/>
  </w:num>
  <w:num w:numId="5">
    <w:abstractNumId w:val="11"/>
  </w:num>
  <w:num w:numId="6">
    <w:abstractNumId w:val="0"/>
  </w:num>
  <w:num w:numId="7">
    <w:abstractNumId w:val="6"/>
  </w:num>
  <w:num w:numId="8">
    <w:abstractNumId w:val="12"/>
  </w:num>
  <w:num w:numId="9">
    <w:abstractNumId w:val="10"/>
  </w:num>
  <w:num w:numId="10">
    <w:abstractNumId w:val="7"/>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E1"/>
    <w:rsid w:val="00015838"/>
    <w:rsid w:val="00023B7E"/>
    <w:rsid w:val="0003170C"/>
    <w:rsid w:val="00037565"/>
    <w:rsid w:val="0004553A"/>
    <w:rsid w:val="00061BFB"/>
    <w:rsid w:val="00071500"/>
    <w:rsid w:val="000726C1"/>
    <w:rsid w:val="00080369"/>
    <w:rsid w:val="00083BF4"/>
    <w:rsid w:val="00087667"/>
    <w:rsid w:val="000B3AF6"/>
    <w:rsid w:val="000D49F6"/>
    <w:rsid w:val="000D5519"/>
    <w:rsid w:val="00125043"/>
    <w:rsid w:val="00136540"/>
    <w:rsid w:val="00153AF6"/>
    <w:rsid w:val="001557C5"/>
    <w:rsid w:val="00161E2D"/>
    <w:rsid w:val="00174A78"/>
    <w:rsid w:val="00174E2E"/>
    <w:rsid w:val="00190352"/>
    <w:rsid w:val="001A17D4"/>
    <w:rsid w:val="001C7509"/>
    <w:rsid w:val="001D4238"/>
    <w:rsid w:val="001E47F4"/>
    <w:rsid w:val="00204FA0"/>
    <w:rsid w:val="00237B8E"/>
    <w:rsid w:val="00263D9A"/>
    <w:rsid w:val="00265333"/>
    <w:rsid w:val="00271C63"/>
    <w:rsid w:val="00282BEA"/>
    <w:rsid w:val="00290CFF"/>
    <w:rsid w:val="0029306F"/>
    <w:rsid w:val="002976A2"/>
    <w:rsid w:val="002A1D1C"/>
    <w:rsid w:val="002C6156"/>
    <w:rsid w:val="002C6769"/>
    <w:rsid w:val="002D2D63"/>
    <w:rsid w:val="002E4778"/>
    <w:rsid w:val="003366F4"/>
    <w:rsid w:val="00341F18"/>
    <w:rsid w:val="00346FCF"/>
    <w:rsid w:val="00356220"/>
    <w:rsid w:val="00371645"/>
    <w:rsid w:val="003737D7"/>
    <w:rsid w:val="003948F2"/>
    <w:rsid w:val="003A2D2B"/>
    <w:rsid w:val="003B4779"/>
    <w:rsid w:val="00401536"/>
    <w:rsid w:val="00404782"/>
    <w:rsid w:val="00407FC1"/>
    <w:rsid w:val="004344C4"/>
    <w:rsid w:val="0043631C"/>
    <w:rsid w:val="00442029"/>
    <w:rsid w:val="00450E25"/>
    <w:rsid w:val="004645AC"/>
    <w:rsid w:val="00473DC3"/>
    <w:rsid w:val="0048133D"/>
    <w:rsid w:val="004A0908"/>
    <w:rsid w:val="004B0236"/>
    <w:rsid w:val="004D3896"/>
    <w:rsid w:val="004D5759"/>
    <w:rsid w:val="004E1D6D"/>
    <w:rsid w:val="004F379F"/>
    <w:rsid w:val="00503C03"/>
    <w:rsid w:val="00522D60"/>
    <w:rsid w:val="00524FA0"/>
    <w:rsid w:val="00564294"/>
    <w:rsid w:val="00572A8C"/>
    <w:rsid w:val="00586570"/>
    <w:rsid w:val="005904BC"/>
    <w:rsid w:val="005A3D80"/>
    <w:rsid w:val="005C26EE"/>
    <w:rsid w:val="005D2443"/>
    <w:rsid w:val="005D2676"/>
    <w:rsid w:val="005E27BB"/>
    <w:rsid w:val="005E5ECB"/>
    <w:rsid w:val="005F27D2"/>
    <w:rsid w:val="00611D48"/>
    <w:rsid w:val="006125A4"/>
    <w:rsid w:val="0062661B"/>
    <w:rsid w:val="00650AB0"/>
    <w:rsid w:val="00671479"/>
    <w:rsid w:val="00675546"/>
    <w:rsid w:val="006771E5"/>
    <w:rsid w:val="0068462B"/>
    <w:rsid w:val="006A630D"/>
    <w:rsid w:val="006C2515"/>
    <w:rsid w:val="006C32CF"/>
    <w:rsid w:val="006C5F4F"/>
    <w:rsid w:val="006C7971"/>
    <w:rsid w:val="00706907"/>
    <w:rsid w:val="0071095B"/>
    <w:rsid w:val="007116A4"/>
    <w:rsid w:val="0075663E"/>
    <w:rsid w:val="007659B0"/>
    <w:rsid w:val="00786132"/>
    <w:rsid w:val="00790A10"/>
    <w:rsid w:val="007B1199"/>
    <w:rsid w:val="007B70D8"/>
    <w:rsid w:val="007D4112"/>
    <w:rsid w:val="007D5CDB"/>
    <w:rsid w:val="007F0975"/>
    <w:rsid w:val="00803BE5"/>
    <w:rsid w:val="008167AB"/>
    <w:rsid w:val="00824A97"/>
    <w:rsid w:val="008618EF"/>
    <w:rsid w:val="00877F92"/>
    <w:rsid w:val="008B222A"/>
    <w:rsid w:val="008C7D42"/>
    <w:rsid w:val="008D099A"/>
    <w:rsid w:val="0090622F"/>
    <w:rsid w:val="009361E7"/>
    <w:rsid w:val="009603DA"/>
    <w:rsid w:val="00970FEB"/>
    <w:rsid w:val="00984EB8"/>
    <w:rsid w:val="009D0892"/>
    <w:rsid w:val="009D111F"/>
    <w:rsid w:val="00A35C66"/>
    <w:rsid w:val="00A4071C"/>
    <w:rsid w:val="00A45412"/>
    <w:rsid w:val="00A65FDC"/>
    <w:rsid w:val="00A66747"/>
    <w:rsid w:val="00A72F59"/>
    <w:rsid w:val="00AB39B2"/>
    <w:rsid w:val="00AD1AE6"/>
    <w:rsid w:val="00AD2717"/>
    <w:rsid w:val="00B0039F"/>
    <w:rsid w:val="00B43BE1"/>
    <w:rsid w:val="00B54CD8"/>
    <w:rsid w:val="00B77F38"/>
    <w:rsid w:val="00C105EC"/>
    <w:rsid w:val="00C106D0"/>
    <w:rsid w:val="00C14E5C"/>
    <w:rsid w:val="00C21CB1"/>
    <w:rsid w:val="00C31AD7"/>
    <w:rsid w:val="00C54823"/>
    <w:rsid w:val="00C55EFB"/>
    <w:rsid w:val="00C750D4"/>
    <w:rsid w:val="00C77187"/>
    <w:rsid w:val="00C9597F"/>
    <w:rsid w:val="00CA30FA"/>
    <w:rsid w:val="00CA620C"/>
    <w:rsid w:val="00CB024D"/>
    <w:rsid w:val="00CD4C9A"/>
    <w:rsid w:val="00D267CA"/>
    <w:rsid w:val="00D37383"/>
    <w:rsid w:val="00D44DCE"/>
    <w:rsid w:val="00D56E1A"/>
    <w:rsid w:val="00D60D03"/>
    <w:rsid w:val="00D644B5"/>
    <w:rsid w:val="00D662F6"/>
    <w:rsid w:val="00D66B57"/>
    <w:rsid w:val="00D725C2"/>
    <w:rsid w:val="00D81D7B"/>
    <w:rsid w:val="00DA3A01"/>
    <w:rsid w:val="00DB35D5"/>
    <w:rsid w:val="00DC37D2"/>
    <w:rsid w:val="00E14B3D"/>
    <w:rsid w:val="00E24219"/>
    <w:rsid w:val="00E26AB0"/>
    <w:rsid w:val="00E33A69"/>
    <w:rsid w:val="00E60A85"/>
    <w:rsid w:val="00E70985"/>
    <w:rsid w:val="00E75002"/>
    <w:rsid w:val="00E9561E"/>
    <w:rsid w:val="00EA06E5"/>
    <w:rsid w:val="00EB1504"/>
    <w:rsid w:val="00EC2CE3"/>
    <w:rsid w:val="00EF0FA6"/>
    <w:rsid w:val="00F05C65"/>
    <w:rsid w:val="00F06827"/>
    <w:rsid w:val="00F11C6E"/>
    <w:rsid w:val="00F13F6D"/>
    <w:rsid w:val="00F23FAB"/>
    <w:rsid w:val="00F37B62"/>
    <w:rsid w:val="00F46EB2"/>
    <w:rsid w:val="00F7007B"/>
    <w:rsid w:val="00FA710D"/>
    <w:rsid w:val="00FA7179"/>
    <w:rsid w:val="00FC28E9"/>
    <w:rsid w:val="00FE07E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6B64"/>
  <w15:docId w15:val="{11544BF1-A295-484B-8A56-6A0EB2C5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7971"/>
  </w:style>
  <w:style w:type="paragraph" w:styleId="Nadpis1">
    <w:name w:val="heading 1"/>
    <w:basedOn w:val="Normlny"/>
    <w:next w:val="Normlny"/>
    <w:link w:val="Nadpis1Char"/>
    <w:uiPriority w:val="9"/>
    <w:qFormat/>
    <w:rsid w:val="00D662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link w:val="Nadpis2Char"/>
    <w:uiPriority w:val="9"/>
    <w:qFormat/>
    <w:rsid w:val="002E477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FNT ISO,Char,Text pozn. pod čarou Char,Char2,Char Char Char Char3,Char Char Char,Footnote,Fußnote,Lábjegyzetszöveg Char,Text poznŕmky pod čiarou 007,Text poznámky pod Źiarou 007,_Poznàmka pod Źiarou,Text poznàmky pod eiarou 007"/>
    <w:basedOn w:val="Normlny"/>
    <w:link w:val="TextpoznmkypodiarouChar"/>
    <w:uiPriority w:val="99"/>
    <w:unhideWhenUsed/>
    <w:qFormat/>
    <w:rsid w:val="00C106D0"/>
    <w:pPr>
      <w:spacing w:after="0" w:line="240" w:lineRule="auto"/>
    </w:pPr>
    <w:rPr>
      <w:sz w:val="20"/>
      <w:szCs w:val="20"/>
    </w:rPr>
  </w:style>
  <w:style w:type="character" w:customStyle="1" w:styleId="TextpoznmkypodiarouChar">
    <w:name w:val="Text poznámky pod čiarou Char"/>
    <w:aliases w:val="FNT ISO Char,Char Char,Text pozn. pod čarou Char Char,Char2 Char,Char Char Char Char3 Char,Char Char Char Char,Footnote Char,Fußnote Char,Lábjegyzetszöveg Char Char,Text poznŕmky pod čiarou 007 Char"/>
    <w:basedOn w:val="Predvolenpsmoodseku"/>
    <w:link w:val="Textpoznmkypodiarou"/>
    <w:uiPriority w:val="99"/>
    <w:rsid w:val="00C106D0"/>
    <w:rPr>
      <w:sz w:val="20"/>
      <w:szCs w:val="20"/>
    </w:rPr>
  </w:style>
  <w:style w:type="character" w:styleId="Odkaznapoznmkupodiarou">
    <w:name w:val="footnote reference"/>
    <w:basedOn w:val="Predvolenpsmoodseku"/>
    <w:uiPriority w:val="99"/>
    <w:semiHidden/>
    <w:unhideWhenUsed/>
    <w:rsid w:val="00C106D0"/>
    <w:rPr>
      <w:vertAlign w:val="superscript"/>
    </w:rPr>
  </w:style>
  <w:style w:type="paragraph" w:styleId="Odsekzoznamu">
    <w:name w:val="List Paragraph"/>
    <w:basedOn w:val="Normlny"/>
    <w:uiPriority w:val="34"/>
    <w:qFormat/>
    <w:rsid w:val="002E4778"/>
    <w:pPr>
      <w:ind w:left="720"/>
      <w:contextualSpacing/>
    </w:pPr>
  </w:style>
  <w:style w:type="character" w:customStyle="1" w:styleId="Nadpis2Char">
    <w:name w:val="Nadpis 2 Char"/>
    <w:basedOn w:val="Predvolenpsmoodseku"/>
    <w:link w:val="Nadpis2"/>
    <w:uiPriority w:val="9"/>
    <w:rsid w:val="002E4778"/>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2E477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E4778"/>
    <w:rPr>
      <w:b/>
      <w:bCs/>
    </w:rPr>
  </w:style>
  <w:style w:type="character" w:customStyle="1" w:styleId="apple-converted-space">
    <w:name w:val="apple-converted-space"/>
    <w:basedOn w:val="Predvolenpsmoodseku"/>
    <w:rsid w:val="002E4778"/>
  </w:style>
  <w:style w:type="character" w:styleId="Hypertextovprepojenie">
    <w:name w:val="Hyperlink"/>
    <w:basedOn w:val="Predvolenpsmoodseku"/>
    <w:uiPriority w:val="99"/>
    <w:unhideWhenUsed/>
    <w:rsid w:val="002E4778"/>
    <w:rPr>
      <w:color w:val="0000FF"/>
      <w:u w:val="single"/>
    </w:rPr>
  </w:style>
  <w:style w:type="character" w:customStyle="1" w:styleId="markedcontent">
    <w:name w:val="markedcontent"/>
    <w:basedOn w:val="Predvolenpsmoodseku"/>
    <w:rsid w:val="00A66747"/>
  </w:style>
  <w:style w:type="character" w:customStyle="1" w:styleId="hidden-xs">
    <w:name w:val="hidden-xs"/>
    <w:basedOn w:val="Predvolenpsmoodseku"/>
    <w:rsid w:val="00A66747"/>
  </w:style>
  <w:style w:type="character" w:styleId="PouitHypertextovPrepojenie">
    <w:name w:val="FollowedHyperlink"/>
    <w:basedOn w:val="Predvolenpsmoodseku"/>
    <w:uiPriority w:val="99"/>
    <w:semiHidden/>
    <w:unhideWhenUsed/>
    <w:rsid w:val="00D662F6"/>
    <w:rPr>
      <w:color w:val="800080" w:themeColor="followedHyperlink"/>
      <w:u w:val="single"/>
    </w:rPr>
  </w:style>
  <w:style w:type="character" w:customStyle="1" w:styleId="Nadpis1Char">
    <w:name w:val="Nadpis 1 Char"/>
    <w:basedOn w:val="Predvolenpsmoodseku"/>
    <w:link w:val="Nadpis1"/>
    <w:uiPriority w:val="9"/>
    <w:rsid w:val="00D662F6"/>
    <w:rPr>
      <w:rFonts w:asciiTheme="majorHAnsi" w:eastAsiaTheme="majorEastAsia" w:hAnsiTheme="majorHAnsi" w:cstheme="majorBidi"/>
      <w:color w:val="365F91" w:themeColor="accent1" w:themeShade="BF"/>
      <w:sz w:val="32"/>
      <w:szCs w:val="32"/>
    </w:rPr>
  </w:style>
  <w:style w:type="paragraph" w:customStyle="1" w:styleId="inline-block">
    <w:name w:val="inline-block"/>
    <w:basedOn w:val="Normlny"/>
    <w:rsid w:val="008D099A"/>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9298">
      <w:bodyDiv w:val="1"/>
      <w:marLeft w:val="0"/>
      <w:marRight w:val="0"/>
      <w:marTop w:val="0"/>
      <w:marBottom w:val="0"/>
      <w:divBdr>
        <w:top w:val="none" w:sz="0" w:space="0" w:color="auto"/>
        <w:left w:val="none" w:sz="0" w:space="0" w:color="auto"/>
        <w:bottom w:val="none" w:sz="0" w:space="0" w:color="auto"/>
        <w:right w:val="none" w:sz="0" w:space="0" w:color="auto"/>
      </w:divBdr>
      <w:divsChild>
        <w:div w:id="215548745">
          <w:marLeft w:val="0"/>
          <w:marRight w:val="0"/>
          <w:marTop w:val="0"/>
          <w:marBottom w:val="0"/>
          <w:divBdr>
            <w:top w:val="single" w:sz="2" w:space="0" w:color="E5E7EB"/>
            <w:left w:val="single" w:sz="2" w:space="0" w:color="E5E7EB"/>
            <w:bottom w:val="single" w:sz="2" w:space="0" w:color="E5E7EB"/>
            <w:right w:val="single" w:sz="2" w:space="0" w:color="E5E7EB"/>
          </w:divBdr>
          <w:divsChild>
            <w:div w:id="820119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640850">
      <w:bodyDiv w:val="1"/>
      <w:marLeft w:val="0"/>
      <w:marRight w:val="0"/>
      <w:marTop w:val="0"/>
      <w:marBottom w:val="0"/>
      <w:divBdr>
        <w:top w:val="none" w:sz="0" w:space="0" w:color="auto"/>
        <w:left w:val="none" w:sz="0" w:space="0" w:color="auto"/>
        <w:bottom w:val="none" w:sz="0" w:space="0" w:color="auto"/>
        <w:right w:val="none" w:sz="0" w:space="0" w:color="auto"/>
      </w:divBdr>
      <w:divsChild>
        <w:div w:id="493186680">
          <w:marLeft w:val="0"/>
          <w:marRight w:val="0"/>
          <w:marTop w:val="0"/>
          <w:marBottom w:val="0"/>
          <w:divBdr>
            <w:top w:val="single" w:sz="2" w:space="0" w:color="E5E7EB"/>
            <w:left w:val="single" w:sz="2" w:space="0" w:color="E5E7EB"/>
            <w:bottom w:val="single" w:sz="2" w:space="0" w:color="E5E7EB"/>
            <w:right w:val="single" w:sz="2" w:space="0" w:color="E5E7EB"/>
          </w:divBdr>
          <w:divsChild>
            <w:div w:id="1631279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020934">
      <w:bodyDiv w:val="1"/>
      <w:marLeft w:val="0"/>
      <w:marRight w:val="0"/>
      <w:marTop w:val="0"/>
      <w:marBottom w:val="0"/>
      <w:divBdr>
        <w:top w:val="none" w:sz="0" w:space="0" w:color="auto"/>
        <w:left w:val="none" w:sz="0" w:space="0" w:color="auto"/>
        <w:bottom w:val="none" w:sz="0" w:space="0" w:color="auto"/>
        <w:right w:val="none" w:sz="0" w:space="0" w:color="auto"/>
      </w:divBdr>
    </w:div>
    <w:div w:id="413670689">
      <w:bodyDiv w:val="1"/>
      <w:marLeft w:val="0"/>
      <w:marRight w:val="0"/>
      <w:marTop w:val="0"/>
      <w:marBottom w:val="0"/>
      <w:divBdr>
        <w:top w:val="none" w:sz="0" w:space="0" w:color="auto"/>
        <w:left w:val="none" w:sz="0" w:space="0" w:color="auto"/>
        <w:bottom w:val="none" w:sz="0" w:space="0" w:color="auto"/>
        <w:right w:val="none" w:sz="0" w:space="0" w:color="auto"/>
      </w:divBdr>
    </w:div>
    <w:div w:id="843205397">
      <w:bodyDiv w:val="1"/>
      <w:marLeft w:val="0"/>
      <w:marRight w:val="0"/>
      <w:marTop w:val="0"/>
      <w:marBottom w:val="0"/>
      <w:divBdr>
        <w:top w:val="none" w:sz="0" w:space="0" w:color="auto"/>
        <w:left w:val="none" w:sz="0" w:space="0" w:color="auto"/>
        <w:bottom w:val="none" w:sz="0" w:space="0" w:color="auto"/>
        <w:right w:val="none" w:sz="0" w:space="0" w:color="auto"/>
      </w:divBdr>
    </w:div>
    <w:div w:id="1598715686">
      <w:bodyDiv w:val="1"/>
      <w:marLeft w:val="0"/>
      <w:marRight w:val="0"/>
      <w:marTop w:val="0"/>
      <w:marBottom w:val="0"/>
      <w:divBdr>
        <w:top w:val="none" w:sz="0" w:space="0" w:color="auto"/>
        <w:left w:val="none" w:sz="0" w:space="0" w:color="auto"/>
        <w:bottom w:val="none" w:sz="0" w:space="0" w:color="auto"/>
        <w:right w:val="none" w:sz="0" w:space="0" w:color="auto"/>
      </w:divBdr>
    </w:div>
    <w:div w:id="1787232756">
      <w:bodyDiv w:val="1"/>
      <w:marLeft w:val="0"/>
      <w:marRight w:val="0"/>
      <w:marTop w:val="0"/>
      <w:marBottom w:val="0"/>
      <w:divBdr>
        <w:top w:val="none" w:sz="0" w:space="0" w:color="auto"/>
        <w:left w:val="none" w:sz="0" w:space="0" w:color="auto"/>
        <w:bottom w:val="none" w:sz="0" w:space="0" w:color="auto"/>
        <w:right w:val="none" w:sz="0" w:space="0" w:color="auto"/>
      </w:divBdr>
    </w:div>
    <w:div w:id="1812164031">
      <w:bodyDiv w:val="1"/>
      <w:marLeft w:val="0"/>
      <w:marRight w:val="0"/>
      <w:marTop w:val="0"/>
      <w:marBottom w:val="0"/>
      <w:divBdr>
        <w:top w:val="none" w:sz="0" w:space="0" w:color="auto"/>
        <w:left w:val="none" w:sz="0" w:space="0" w:color="auto"/>
        <w:bottom w:val="none" w:sz="0" w:space="0" w:color="auto"/>
        <w:right w:val="none" w:sz="0" w:space="0" w:color="auto"/>
      </w:divBdr>
    </w:div>
    <w:div w:id="20612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s://road-safety.transport.ec.europa.eu/eu-road-safety-policy/priorities/safe-road-use/enforcement/revision-directive-cross-border-exchange-information-road-safety-related-traffic-offences_en" TargetMode="External"/><Relationship Id="rId3" Type="http://schemas.openxmlformats.org/officeDocument/2006/relationships/styles" Target="styles.xml"/><Relationship Id="rId21" Type="http://schemas.openxmlformats.org/officeDocument/2006/relationships/hyperlink" Target="https://transport.ec.europa.eu/news/road-safety-european-commission-sets-out-next-steps-towards-vision-zero-including-key-performance-2019-06-19_en"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europarl.europa.eu/doceo/document/TA-9-2021-0407_SK.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resource.html?uri=cellar%3A0e8b694e-59b5-11e8-ab41-01aa75ed71a1.0003.02/DOC_1&amp;format=PDF" TargetMode="External"/><Relationship Id="rId20" Type="http://schemas.openxmlformats.org/officeDocument/2006/relationships/hyperlink" Target="https://ec.europa.eu/commission/presscorner/detail/en/ip_23_9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sud.sk/data/att/67d/69127.085474.pdf" TargetMode="External"/><Relationship Id="rId23" Type="http://schemas.openxmlformats.org/officeDocument/2006/relationships/hyperlink" Target="mailto:michal.simunek@minv.sk" TargetMode="External"/><Relationship Id="rId10" Type="http://schemas.openxmlformats.org/officeDocument/2006/relationships/chart" Target="charts/chart2.xml"/><Relationship Id="rId19" Type="http://schemas.openxmlformats.org/officeDocument/2006/relationships/hyperlink" Target="https://ec.europa.eu/commission/presscorner/detail/en/qanda_20_100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mailto:vladimira.hudecova2@minv.s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sud.sk/data/att/67d/69127.085474.pdf" TargetMode="External"/><Relationship Id="rId3" Type="http://schemas.openxmlformats.org/officeDocument/2006/relationships/hyperlink" Target="https://transport.ec.europa.eu/news/road-safety-european-commission-sets-out-next-steps-towards-vision-zero-including-key-performance-2019-06-19_en" TargetMode="External"/><Relationship Id="rId7" Type="http://schemas.openxmlformats.org/officeDocument/2006/relationships/hyperlink" Target="https://eur-lex.europa.eu/resource.html?uri=cellar%3A0e8b694e-59b5-11e8-ab41-01aa75ed71a1.0003.02/DOC_1&amp;format=PDF" TargetMode="External"/><Relationship Id="rId2" Type="http://schemas.openxmlformats.org/officeDocument/2006/relationships/hyperlink" Target="https://eur-lex.europa.eu/resource.html?uri=cellar%3A0e8b694e-59b5-11e8-ab41-01aa75ed71a1.0003.02/DOC_1&amp;format=PDF" TargetMode="External"/><Relationship Id="rId1" Type="http://schemas.openxmlformats.org/officeDocument/2006/relationships/hyperlink" Target="https://www.europarl.europa.eu/doceo/document/TA-9-2021-0407_SK.html" TargetMode="External"/><Relationship Id="rId6" Type="http://schemas.openxmlformats.org/officeDocument/2006/relationships/hyperlink" Target="https://ec.europa.eu/commission/presscorner/detail/en/ip_23_953" TargetMode="External"/><Relationship Id="rId5" Type="http://schemas.openxmlformats.org/officeDocument/2006/relationships/hyperlink" Target="https://ec.europa.eu/commission/presscorner/detail/en/qanda_20_1004" TargetMode="External"/><Relationship Id="rId4" Type="http://schemas.openxmlformats.org/officeDocument/2006/relationships/hyperlink" Target="https://ec.europa.eu/commission/presscorner/detail/en/ip_23_953" TargetMode="External"/><Relationship Id="rId9" Type="http://schemas.openxmlformats.org/officeDocument/2006/relationships/hyperlink" Target="https://road-safety.transport.ec.europa.eu/eu-road-safety-policy/priorities/safe-road-use/enforcement/revision-directive-cross-border-exchange-information-road-safety-related-traffic-offences_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_rok_programu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_rok_programu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_rok_programu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H_rok_programu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H_rok_programu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H_rok_programu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sk-SK"/>
              <a:t>Vyhľadávanie slovenských EČV zahraničnými orgánmi v module CBE v 1. polroku 2021</a:t>
            </a:r>
            <a:endParaRPr lang="en-US"/>
          </a:p>
        </c:rich>
      </c:tx>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k-SK"/>
        </a:p>
      </c:txPr>
    </c:title>
    <c:autoTitleDeleted val="0"/>
    <c:plotArea>
      <c:layout>
        <c:manualLayout>
          <c:layoutTarget val="inner"/>
          <c:xMode val="edge"/>
          <c:yMode val="edge"/>
          <c:x val="8.6352981578237301E-2"/>
          <c:y val="0.22290012221773739"/>
          <c:w val="0.87875605268967549"/>
          <c:h val="0.56733527074594936"/>
        </c:manualLayout>
      </c:layout>
      <c:barChart>
        <c:barDir val="col"/>
        <c:grouping val="clustered"/>
        <c:varyColors val="0"/>
        <c:ser>
          <c:idx val="1"/>
          <c:order val="0"/>
          <c:spPr>
            <a:noFill/>
            <a:ln w="9525" cap="flat" cmpd="sng" algn="ctr">
              <a:solidFill>
                <a:schemeClr val="accent4"/>
              </a:solidFill>
              <a:miter lim="800000"/>
            </a:ln>
            <a:effectLst>
              <a:glow rad="63500">
                <a:schemeClr val="accent4">
                  <a:satMod val="175000"/>
                  <a:alpha val="25000"/>
                </a:schemeClr>
              </a:glow>
            </a:effectLst>
          </c:spPr>
          <c:invertIfNegative val="0"/>
          <c:dLbls>
            <c:delete val="1"/>
          </c:dLbls>
          <c:cat>
            <c:strRef>
              <c:f>'CBE 01-06-2021'!$A$2:$A$21</c:f>
              <c:strCache>
                <c:ptCount val="20"/>
                <c:pt idx="0">
                  <c:v>ČR</c:v>
                </c:pt>
                <c:pt idx="1">
                  <c:v>Taliansko</c:v>
                </c:pt>
                <c:pt idx="2">
                  <c:v>Rakúsko</c:v>
                </c:pt>
                <c:pt idx="3">
                  <c:v>Dánsko</c:v>
                </c:pt>
                <c:pt idx="4">
                  <c:v>Belgicko</c:v>
                </c:pt>
                <c:pt idx="5">
                  <c:v>Maďarsko</c:v>
                </c:pt>
                <c:pt idx="6">
                  <c:v>Lotyšsko</c:v>
                </c:pt>
                <c:pt idx="7">
                  <c:v>Holandsko</c:v>
                </c:pt>
                <c:pt idx="8">
                  <c:v>Bulharsko</c:v>
                </c:pt>
                <c:pt idx="9">
                  <c:v>Chorvátsko</c:v>
                </c:pt>
                <c:pt idx="10">
                  <c:v>Španielsko</c:v>
                </c:pt>
                <c:pt idx="11">
                  <c:v>Litva</c:v>
                </c:pt>
                <c:pt idx="12">
                  <c:v>Francúzsko</c:v>
                </c:pt>
                <c:pt idx="13">
                  <c:v>Poľsko</c:v>
                </c:pt>
                <c:pt idx="14">
                  <c:v>Slovinsko</c:v>
                </c:pt>
                <c:pt idx="15">
                  <c:v>Luxembursko</c:v>
                </c:pt>
                <c:pt idx="16">
                  <c:v>Estónsko</c:v>
                </c:pt>
                <c:pt idx="17">
                  <c:v>Malta</c:v>
                </c:pt>
                <c:pt idx="18">
                  <c:v>Grécko</c:v>
                </c:pt>
                <c:pt idx="19">
                  <c:v>Portugalsko</c:v>
                </c:pt>
              </c:strCache>
            </c:strRef>
          </c:cat>
          <c:val>
            <c:numRef>
              <c:f>'CBE 01-06-2021'!$B$2:$B$21</c:f>
              <c:numCache>
                <c:formatCode>General</c:formatCode>
                <c:ptCount val="20"/>
                <c:pt idx="0">
                  <c:v>29594</c:v>
                </c:pt>
                <c:pt idx="1">
                  <c:v>9073</c:v>
                </c:pt>
                <c:pt idx="2">
                  <c:v>6424</c:v>
                </c:pt>
                <c:pt idx="3">
                  <c:v>4726</c:v>
                </c:pt>
                <c:pt idx="4">
                  <c:v>4425</c:v>
                </c:pt>
                <c:pt idx="5">
                  <c:v>3971</c:v>
                </c:pt>
                <c:pt idx="6">
                  <c:v>1209</c:v>
                </c:pt>
                <c:pt idx="7">
                  <c:v>1111</c:v>
                </c:pt>
                <c:pt idx="8">
                  <c:v>751</c:v>
                </c:pt>
                <c:pt idx="9">
                  <c:v>709</c:v>
                </c:pt>
                <c:pt idx="10">
                  <c:v>648</c:v>
                </c:pt>
                <c:pt idx="11">
                  <c:v>225</c:v>
                </c:pt>
                <c:pt idx="12">
                  <c:v>127</c:v>
                </c:pt>
                <c:pt idx="13">
                  <c:v>114</c:v>
                </c:pt>
                <c:pt idx="14">
                  <c:v>101</c:v>
                </c:pt>
                <c:pt idx="15">
                  <c:v>92</c:v>
                </c:pt>
                <c:pt idx="16">
                  <c:v>84</c:v>
                </c:pt>
                <c:pt idx="17">
                  <c:v>12</c:v>
                </c:pt>
                <c:pt idx="18">
                  <c:v>10</c:v>
                </c:pt>
                <c:pt idx="19">
                  <c:v>5</c:v>
                </c:pt>
              </c:numCache>
            </c:numRef>
          </c:val>
          <c:extLst>
            <c:ext xmlns:c16="http://schemas.microsoft.com/office/drawing/2014/chart" uri="{C3380CC4-5D6E-409C-BE32-E72D297353CC}">
              <c16:uniqueId val="{00000000-9B3D-41D0-A760-332D4187FD06}"/>
            </c:ext>
          </c:extLst>
        </c:ser>
        <c:dLbls>
          <c:dLblPos val="inEnd"/>
          <c:showLegendKey val="0"/>
          <c:showVal val="1"/>
          <c:showCatName val="0"/>
          <c:showSerName val="0"/>
          <c:showPercent val="0"/>
          <c:showBubbleSize val="0"/>
        </c:dLbls>
        <c:gapWidth val="315"/>
        <c:overlap val="-40"/>
        <c:axId val="1109078431"/>
        <c:axId val="1109092159"/>
      </c:barChart>
      <c:catAx>
        <c:axId val="1109078431"/>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k-SK"/>
          </a:p>
        </c:txPr>
        <c:crossAx val="1109092159"/>
        <c:crosses val="autoZero"/>
        <c:auto val="1"/>
        <c:lblAlgn val="ctr"/>
        <c:lblOffset val="100"/>
        <c:noMultiLvlLbl val="0"/>
      </c:catAx>
      <c:valAx>
        <c:axId val="1109092159"/>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k-SK"/>
          </a:p>
        </c:txPr>
        <c:crossAx val="1109078431"/>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sk-SK"/>
              <a:t>Vyhľadávanie slovenských EČV zahraničnými orgánmi v module CBE v 2. polroku 2021</a:t>
            </a:r>
            <a:endParaRPr lang="en-US"/>
          </a:p>
        </c:rich>
      </c:tx>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k-SK"/>
        </a:p>
      </c:txPr>
    </c:title>
    <c:autoTitleDeleted val="0"/>
    <c:plotArea>
      <c:layout/>
      <c:barChart>
        <c:barDir val="col"/>
        <c:grouping val="clustered"/>
        <c:varyColors val="0"/>
        <c:ser>
          <c:idx val="0"/>
          <c:order val="0"/>
          <c:spPr>
            <a:noFill/>
            <a:ln w="9525" cap="flat" cmpd="sng" algn="ctr">
              <a:solidFill>
                <a:schemeClr val="accent2"/>
              </a:solidFill>
              <a:miter lim="800000"/>
            </a:ln>
            <a:effectLst>
              <a:glow rad="63500">
                <a:schemeClr val="accent2">
                  <a:satMod val="175000"/>
                  <a:alpha val="25000"/>
                </a:schemeClr>
              </a:glow>
            </a:effectLst>
          </c:spPr>
          <c:invertIfNegative val="0"/>
          <c:dLbls>
            <c:delete val="1"/>
          </c:dLbls>
          <c:cat>
            <c:strRef>
              <c:f>'CBE 07-12-2021'!$C$2:$C$21</c:f>
              <c:strCache>
                <c:ptCount val="20"/>
                <c:pt idx="0">
                  <c:v>Rakúsko</c:v>
                </c:pt>
                <c:pt idx="1">
                  <c:v>Belgicko</c:v>
                </c:pt>
                <c:pt idx="2">
                  <c:v>Bulharsko</c:v>
                </c:pt>
                <c:pt idx="3">
                  <c:v>ČR</c:v>
                </c:pt>
                <c:pt idx="4">
                  <c:v>Dánsko</c:v>
                </c:pt>
                <c:pt idx="5">
                  <c:v>Španielsko</c:v>
                </c:pt>
                <c:pt idx="6">
                  <c:v>Estónsko</c:v>
                </c:pt>
                <c:pt idx="7">
                  <c:v>Francúzsko</c:v>
                </c:pt>
                <c:pt idx="8">
                  <c:v>Grécko</c:v>
                </c:pt>
                <c:pt idx="9">
                  <c:v>Maďarsko</c:v>
                </c:pt>
                <c:pt idx="10">
                  <c:v>Chorvátsko</c:v>
                </c:pt>
                <c:pt idx="11">
                  <c:v>Taliansko</c:v>
                </c:pt>
                <c:pt idx="12">
                  <c:v>Luxembursko</c:v>
                </c:pt>
                <c:pt idx="13">
                  <c:v>Litva</c:v>
                </c:pt>
                <c:pt idx="14">
                  <c:v>Poľsko</c:v>
                </c:pt>
                <c:pt idx="15">
                  <c:v>Malta</c:v>
                </c:pt>
                <c:pt idx="16">
                  <c:v>Holandsko</c:v>
                </c:pt>
                <c:pt idx="17">
                  <c:v>Portugalsko</c:v>
                </c:pt>
                <c:pt idx="18">
                  <c:v>Poľsko</c:v>
                </c:pt>
                <c:pt idx="19">
                  <c:v>Slovinsko</c:v>
                </c:pt>
              </c:strCache>
            </c:strRef>
          </c:cat>
          <c:val>
            <c:numRef>
              <c:f>'CBE 01-06-2022'!$B$2:$B$21</c:f>
              <c:numCache>
                <c:formatCode>General</c:formatCode>
                <c:ptCount val="20"/>
                <c:pt idx="0">
                  <c:v>50303</c:v>
                </c:pt>
                <c:pt idx="1">
                  <c:v>12682</c:v>
                </c:pt>
                <c:pt idx="2">
                  <c:v>10499</c:v>
                </c:pt>
                <c:pt idx="3">
                  <c:v>8306</c:v>
                </c:pt>
                <c:pt idx="4">
                  <c:v>5498</c:v>
                </c:pt>
                <c:pt idx="5">
                  <c:v>5344</c:v>
                </c:pt>
                <c:pt idx="6">
                  <c:v>2448</c:v>
                </c:pt>
                <c:pt idx="7">
                  <c:v>1278</c:v>
                </c:pt>
                <c:pt idx="8">
                  <c:v>1213</c:v>
                </c:pt>
                <c:pt idx="9">
                  <c:v>572</c:v>
                </c:pt>
                <c:pt idx="10">
                  <c:v>512</c:v>
                </c:pt>
                <c:pt idx="11">
                  <c:v>499</c:v>
                </c:pt>
                <c:pt idx="12">
                  <c:v>337</c:v>
                </c:pt>
                <c:pt idx="13">
                  <c:v>162</c:v>
                </c:pt>
                <c:pt idx="14">
                  <c:v>134</c:v>
                </c:pt>
                <c:pt idx="15">
                  <c:v>125</c:v>
                </c:pt>
                <c:pt idx="16">
                  <c:v>85</c:v>
                </c:pt>
                <c:pt idx="17">
                  <c:v>16</c:v>
                </c:pt>
                <c:pt idx="18">
                  <c:v>7</c:v>
                </c:pt>
                <c:pt idx="19">
                  <c:v>2</c:v>
                </c:pt>
              </c:numCache>
            </c:numRef>
          </c:val>
          <c:extLst>
            <c:ext xmlns:c16="http://schemas.microsoft.com/office/drawing/2014/chart" uri="{C3380CC4-5D6E-409C-BE32-E72D297353CC}">
              <c16:uniqueId val="{00000000-C36F-4DE6-9691-1FB56C60EE5E}"/>
            </c:ext>
          </c:extLst>
        </c:ser>
        <c:ser>
          <c:idx val="1"/>
          <c:order val="1"/>
          <c:spPr>
            <a:noFill/>
            <a:ln w="9525" cap="flat" cmpd="sng" algn="ctr">
              <a:solidFill>
                <a:schemeClr val="accent4"/>
              </a:solidFill>
              <a:miter lim="800000"/>
            </a:ln>
            <a:effectLst>
              <a:glow rad="63500">
                <a:schemeClr val="accent4">
                  <a:satMod val="175000"/>
                  <a:alpha val="25000"/>
                </a:schemeClr>
              </a:glow>
            </a:effectLst>
          </c:spPr>
          <c:invertIfNegative val="0"/>
          <c:dLbls>
            <c:delete val="1"/>
          </c:dLbls>
          <c:cat>
            <c:strRef>
              <c:f>'CBE 07-12-2021'!$C$2:$C$21</c:f>
              <c:strCache>
                <c:ptCount val="20"/>
                <c:pt idx="0">
                  <c:v>Rakúsko</c:v>
                </c:pt>
                <c:pt idx="1">
                  <c:v>Belgicko</c:v>
                </c:pt>
                <c:pt idx="2">
                  <c:v>Bulharsko</c:v>
                </c:pt>
                <c:pt idx="3">
                  <c:v>ČR</c:v>
                </c:pt>
                <c:pt idx="4">
                  <c:v>Dánsko</c:v>
                </c:pt>
                <c:pt idx="5">
                  <c:v>Španielsko</c:v>
                </c:pt>
                <c:pt idx="6">
                  <c:v>Estónsko</c:v>
                </c:pt>
                <c:pt idx="7">
                  <c:v>Francúzsko</c:v>
                </c:pt>
                <c:pt idx="8">
                  <c:v>Grécko</c:v>
                </c:pt>
                <c:pt idx="9">
                  <c:v>Maďarsko</c:v>
                </c:pt>
                <c:pt idx="10">
                  <c:v>Chorvátsko</c:v>
                </c:pt>
                <c:pt idx="11">
                  <c:v>Taliansko</c:v>
                </c:pt>
                <c:pt idx="12">
                  <c:v>Luxembursko</c:v>
                </c:pt>
                <c:pt idx="13">
                  <c:v>Litva</c:v>
                </c:pt>
                <c:pt idx="14">
                  <c:v>Poľsko</c:v>
                </c:pt>
                <c:pt idx="15">
                  <c:v>Malta</c:v>
                </c:pt>
                <c:pt idx="16">
                  <c:v>Holandsko</c:v>
                </c:pt>
                <c:pt idx="17">
                  <c:v>Portugalsko</c:v>
                </c:pt>
                <c:pt idx="18">
                  <c:v>Poľsko</c:v>
                </c:pt>
                <c:pt idx="19">
                  <c:v>Slovinsko</c:v>
                </c:pt>
              </c:strCache>
            </c:strRef>
          </c:cat>
          <c:val>
            <c:numRef>
              <c:f>'CBE 01-06-2022'!$C$2:$C$21</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1-C36F-4DE6-9691-1FB56C60EE5E}"/>
            </c:ext>
          </c:extLst>
        </c:ser>
        <c:dLbls>
          <c:dLblPos val="inEnd"/>
          <c:showLegendKey val="0"/>
          <c:showVal val="1"/>
          <c:showCatName val="0"/>
          <c:showSerName val="0"/>
          <c:showPercent val="0"/>
          <c:showBubbleSize val="0"/>
        </c:dLbls>
        <c:gapWidth val="315"/>
        <c:overlap val="-40"/>
        <c:axId val="1109078431"/>
        <c:axId val="1109092159"/>
      </c:barChart>
      <c:catAx>
        <c:axId val="1109078431"/>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k-SK"/>
          </a:p>
        </c:txPr>
        <c:crossAx val="1109092159"/>
        <c:crosses val="autoZero"/>
        <c:auto val="1"/>
        <c:lblAlgn val="ctr"/>
        <c:lblOffset val="100"/>
        <c:noMultiLvlLbl val="0"/>
      </c:catAx>
      <c:valAx>
        <c:axId val="1109092159"/>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k-SK"/>
          </a:p>
        </c:txPr>
        <c:crossAx val="1109078431"/>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sk-SK"/>
              <a:t>Vyhľadávanie slovenských EČV zahraničnými orgánmi v module CBE v 1. polroku 2022</a:t>
            </a:r>
            <a:endParaRPr lang="en-US"/>
          </a:p>
        </c:rich>
      </c:tx>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k-SK"/>
        </a:p>
      </c:txPr>
    </c:title>
    <c:autoTitleDeleted val="0"/>
    <c:plotArea>
      <c:layout/>
      <c:barChart>
        <c:barDir val="col"/>
        <c:grouping val="clustered"/>
        <c:varyColors val="0"/>
        <c:ser>
          <c:idx val="1"/>
          <c:order val="1"/>
          <c:spPr>
            <a:noFill/>
            <a:ln w="9525" cap="flat" cmpd="sng" algn="ctr">
              <a:solidFill>
                <a:schemeClr val="accent4"/>
              </a:solidFill>
              <a:miter lim="800000"/>
            </a:ln>
            <a:effectLst>
              <a:glow rad="63500">
                <a:schemeClr val="accent4">
                  <a:satMod val="175000"/>
                  <a:alpha val="25000"/>
                </a:schemeClr>
              </a:glow>
            </a:effectLst>
          </c:spPr>
          <c:invertIfNegative val="0"/>
          <c:dLbls>
            <c:delete val="1"/>
          </c:dLbls>
          <c:cat>
            <c:strRef>
              <c:f>'CBE 01-06-2022'!$C$2:$C$21</c:f>
              <c:strCache>
                <c:ptCount val="20"/>
                <c:pt idx="0">
                  <c:v>ČR</c:v>
                </c:pt>
                <c:pt idx="1">
                  <c:v>Taliansko</c:v>
                </c:pt>
                <c:pt idx="2">
                  <c:v>Maďarsko</c:v>
                </c:pt>
                <c:pt idx="3">
                  <c:v>Rakúsko</c:v>
                </c:pt>
                <c:pt idx="4">
                  <c:v>Belgicko</c:v>
                </c:pt>
                <c:pt idx="5">
                  <c:v>Dánsko</c:v>
                </c:pt>
                <c:pt idx="6">
                  <c:v>Holandsko</c:v>
                </c:pt>
                <c:pt idx="7">
                  <c:v>Francúzsko</c:v>
                </c:pt>
                <c:pt idx="8">
                  <c:v>Chorvátsko</c:v>
                </c:pt>
                <c:pt idx="9">
                  <c:v>Španielsko</c:v>
                </c:pt>
                <c:pt idx="10">
                  <c:v>Bulharsko</c:v>
                </c:pt>
                <c:pt idx="11">
                  <c:v>Litva</c:v>
                </c:pt>
                <c:pt idx="12">
                  <c:v>Luxembursko</c:v>
                </c:pt>
                <c:pt idx="13">
                  <c:v>Slovinsko</c:v>
                </c:pt>
                <c:pt idx="14">
                  <c:v>Poľsko</c:v>
                </c:pt>
                <c:pt idx="15">
                  <c:v>Francúzsko</c:v>
                </c:pt>
                <c:pt idx="16">
                  <c:v>Estónsko</c:v>
                </c:pt>
                <c:pt idx="17">
                  <c:v>Portugalsko</c:v>
                </c:pt>
                <c:pt idx="18">
                  <c:v>Malta</c:v>
                </c:pt>
                <c:pt idx="19">
                  <c:v>Dánsko</c:v>
                </c:pt>
              </c:strCache>
            </c:strRef>
          </c:cat>
          <c:val>
            <c:numRef>
              <c:f>'CBE 01-06-2022'!$C$2:$C$21</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0-576C-402E-B477-B6518E7B3912}"/>
            </c:ext>
          </c:extLst>
        </c:ser>
        <c:dLbls>
          <c:dLblPos val="inEnd"/>
          <c:showLegendKey val="0"/>
          <c:showVal val="1"/>
          <c:showCatName val="0"/>
          <c:showSerName val="0"/>
          <c:showPercent val="0"/>
          <c:showBubbleSize val="0"/>
        </c:dLbls>
        <c:gapWidth val="315"/>
        <c:overlap val="-40"/>
        <c:axId val="1109078431"/>
        <c:axId val="1109092159"/>
      </c:barChart>
      <c:barChart>
        <c:barDir val="col"/>
        <c:grouping val="clustered"/>
        <c:varyColors val="0"/>
        <c:ser>
          <c:idx val="0"/>
          <c:order val="0"/>
          <c:spPr>
            <a:noFill/>
            <a:ln w="9525" cap="flat" cmpd="sng" algn="ctr">
              <a:solidFill>
                <a:schemeClr val="accent2"/>
              </a:solidFill>
              <a:miter lim="800000"/>
            </a:ln>
            <a:effectLst>
              <a:glow rad="63500">
                <a:schemeClr val="accent2">
                  <a:satMod val="175000"/>
                  <a:alpha val="25000"/>
                </a:schemeClr>
              </a:glow>
            </a:effectLst>
          </c:spPr>
          <c:invertIfNegative val="0"/>
          <c:cat>
            <c:strRef>
              <c:f>'CBE 01-06-2022'!$C$2:$C$21</c:f>
              <c:strCache>
                <c:ptCount val="20"/>
                <c:pt idx="0">
                  <c:v>ČR</c:v>
                </c:pt>
                <c:pt idx="1">
                  <c:v>Taliansko</c:v>
                </c:pt>
                <c:pt idx="2">
                  <c:v>Maďarsko</c:v>
                </c:pt>
                <c:pt idx="3">
                  <c:v>Rakúsko</c:v>
                </c:pt>
                <c:pt idx="4">
                  <c:v>Belgicko</c:v>
                </c:pt>
                <c:pt idx="5">
                  <c:v>Dánsko</c:v>
                </c:pt>
                <c:pt idx="6">
                  <c:v>Holandsko</c:v>
                </c:pt>
                <c:pt idx="7">
                  <c:v>Francúzsko</c:v>
                </c:pt>
                <c:pt idx="8">
                  <c:v>Chorvátsko</c:v>
                </c:pt>
                <c:pt idx="9">
                  <c:v>Španielsko</c:v>
                </c:pt>
                <c:pt idx="10">
                  <c:v>Bulharsko</c:v>
                </c:pt>
                <c:pt idx="11">
                  <c:v>Litva</c:v>
                </c:pt>
                <c:pt idx="12">
                  <c:v>Luxembursko</c:v>
                </c:pt>
                <c:pt idx="13">
                  <c:v>Slovinsko</c:v>
                </c:pt>
                <c:pt idx="14">
                  <c:v>Poľsko</c:v>
                </c:pt>
                <c:pt idx="15">
                  <c:v>Francúzsko</c:v>
                </c:pt>
                <c:pt idx="16">
                  <c:v>Estónsko</c:v>
                </c:pt>
                <c:pt idx="17">
                  <c:v>Portugalsko</c:v>
                </c:pt>
                <c:pt idx="18">
                  <c:v>Malta</c:v>
                </c:pt>
                <c:pt idx="19">
                  <c:v>Dánsko</c:v>
                </c:pt>
              </c:strCache>
            </c:strRef>
          </c:cat>
          <c:val>
            <c:numRef>
              <c:f>'CBE 01-06-2022'!$B$2:$B$21</c:f>
              <c:numCache>
                <c:formatCode>General</c:formatCode>
                <c:ptCount val="20"/>
                <c:pt idx="0">
                  <c:v>50303</c:v>
                </c:pt>
                <c:pt idx="1">
                  <c:v>12682</c:v>
                </c:pt>
                <c:pt idx="2">
                  <c:v>10499</c:v>
                </c:pt>
                <c:pt idx="3">
                  <c:v>8306</c:v>
                </c:pt>
                <c:pt idx="4">
                  <c:v>5498</c:v>
                </c:pt>
                <c:pt idx="5">
                  <c:v>5344</c:v>
                </c:pt>
                <c:pt idx="6">
                  <c:v>2448</c:v>
                </c:pt>
                <c:pt idx="7">
                  <c:v>1278</c:v>
                </c:pt>
                <c:pt idx="8">
                  <c:v>1213</c:v>
                </c:pt>
                <c:pt idx="9">
                  <c:v>572</c:v>
                </c:pt>
                <c:pt idx="10">
                  <c:v>512</c:v>
                </c:pt>
                <c:pt idx="11">
                  <c:v>499</c:v>
                </c:pt>
                <c:pt idx="12">
                  <c:v>337</c:v>
                </c:pt>
                <c:pt idx="13">
                  <c:v>162</c:v>
                </c:pt>
                <c:pt idx="14">
                  <c:v>134</c:v>
                </c:pt>
                <c:pt idx="15">
                  <c:v>125</c:v>
                </c:pt>
                <c:pt idx="16">
                  <c:v>85</c:v>
                </c:pt>
                <c:pt idx="17">
                  <c:v>16</c:v>
                </c:pt>
                <c:pt idx="18">
                  <c:v>7</c:v>
                </c:pt>
                <c:pt idx="19">
                  <c:v>2</c:v>
                </c:pt>
              </c:numCache>
            </c:numRef>
          </c:val>
          <c:extLst>
            <c:ext xmlns:c16="http://schemas.microsoft.com/office/drawing/2014/chart" uri="{C3380CC4-5D6E-409C-BE32-E72D297353CC}">
              <c16:uniqueId val="{00000001-576C-402E-B477-B6518E7B3912}"/>
            </c:ext>
          </c:extLst>
        </c:ser>
        <c:dLbls>
          <c:showLegendKey val="0"/>
          <c:showVal val="0"/>
          <c:showCatName val="0"/>
          <c:showSerName val="0"/>
          <c:showPercent val="0"/>
          <c:showBubbleSize val="0"/>
        </c:dLbls>
        <c:gapWidth val="315"/>
        <c:overlap val="-40"/>
        <c:axId val="1110077823"/>
        <c:axId val="1110071999"/>
      </c:barChart>
      <c:catAx>
        <c:axId val="1109078431"/>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k-SK"/>
          </a:p>
        </c:txPr>
        <c:crossAx val="1109092159"/>
        <c:crosses val="autoZero"/>
        <c:auto val="1"/>
        <c:lblAlgn val="ctr"/>
        <c:lblOffset val="100"/>
        <c:noMultiLvlLbl val="0"/>
      </c:catAx>
      <c:valAx>
        <c:axId val="1109092159"/>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k-SK"/>
          </a:p>
        </c:txPr>
        <c:crossAx val="1109078431"/>
        <c:crosses val="autoZero"/>
        <c:crossBetween val="between"/>
      </c:valAx>
      <c:valAx>
        <c:axId val="1110071999"/>
        <c:scaling>
          <c:orientation val="minMax"/>
        </c:scaling>
        <c:delete val="1"/>
        <c:axPos val="r"/>
        <c:numFmt formatCode="General" sourceLinked="1"/>
        <c:majorTickMark val="out"/>
        <c:minorTickMark val="none"/>
        <c:tickLblPos val="nextTo"/>
        <c:crossAx val="1110077823"/>
        <c:crosses val="max"/>
        <c:crossBetween val="between"/>
      </c:valAx>
      <c:catAx>
        <c:axId val="1110077823"/>
        <c:scaling>
          <c:orientation val="minMax"/>
        </c:scaling>
        <c:delete val="1"/>
        <c:axPos val="b"/>
        <c:numFmt formatCode="General" sourceLinked="1"/>
        <c:majorTickMark val="out"/>
        <c:minorTickMark val="none"/>
        <c:tickLblPos val="nextTo"/>
        <c:crossAx val="1110071999"/>
        <c:crosses val="autoZero"/>
        <c:auto val="1"/>
        <c:lblAlgn val="ctr"/>
        <c:lblOffset val="100"/>
        <c:noMultiLvlLbl val="0"/>
      </c:cat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solidFill>
                  <a:sysClr val="windowText" lastClr="000000"/>
                </a:solidFill>
              </a:rPr>
              <a:t>Vy</a:t>
            </a:r>
            <a:r>
              <a:rPr lang="sk-SK">
                <a:solidFill>
                  <a:sysClr val="windowText" lastClr="000000"/>
                </a:solidFill>
              </a:rPr>
              <a:t>hľadávanie zahraničných EČV príslušníkmi PZ </a:t>
            </a:r>
          </a:p>
          <a:p>
            <a:pPr>
              <a:defRPr/>
            </a:pPr>
            <a:r>
              <a:rPr lang="sk-SK">
                <a:solidFill>
                  <a:sysClr val="windowText" lastClr="000000"/>
                </a:solidFill>
              </a:rPr>
              <a:t>v module CBE v 1. polroku 2021</a:t>
            </a:r>
            <a:endParaRPr lang="en-US">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sk-SK"/>
        </a:p>
      </c:txPr>
    </c:title>
    <c:autoTitleDeleted val="0"/>
    <c:plotArea>
      <c:layout/>
      <c:barChart>
        <c:barDir val="col"/>
        <c:grouping val="clustered"/>
        <c:varyColors val="0"/>
        <c:ser>
          <c:idx val="0"/>
          <c:order val="0"/>
          <c:spPr>
            <a:solidFill>
              <a:srgbClr val="4BACC6">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'CBE 01-06-2021'!$C$2:$C$28</c:f>
              <c:strCache>
                <c:ptCount val="27"/>
                <c:pt idx="0">
                  <c:v>ČR</c:v>
                </c:pt>
                <c:pt idx="1">
                  <c:v>Poľsko</c:v>
                </c:pt>
                <c:pt idx="2">
                  <c:v>Rakúsko</c:v>
                </c:pt>
                <c:pt idx="3">
                  <c:v>Dánsko</c:v>
                </c:pt>
                <c:pt idx="4">
                  <c:v>Maďarsko</c:v>
                </c:pt>
                <c:pt idx="5">
                  <c:v>Rumunsko</c:v>
                </c:pt>
                <c:pt idx="6">
                  <c:v>Slovinsko</c:v>
                </c:pt>
                <c:pt idx="7">
                  <c:v>Belgicko</c:v>
                </c:pt>
                <c:pt idx="8">
                  <c:v>Bulharsko</c:v>
                </c:pt>
                <c:pt idx="9">
                  <c:v>Španielsko</c:v>
                </c:pt>
                <c:pt idx="10">
                  <c:v>Írsko</c:v>
                </c:pt>
                <c:pt idx="11">
                  <c:v>Lotyšsko</c:v>
                </c:pt>
                <c:pt idx="12">
                  <c:v>Francúzsko</c:v>
                </c:pt>
                <c:pt idx="13">
                  <c:v>Portugalsko</c:v>
                </c:pt>
                <c:pt idx="14">
                  <c:v>Dánsko</c:v>
                </c:pt>
                <c:pt idx="15">
                  <c:v>Chorvátsko</c:v>
                </c:pt>
                <c:pt idx="16">
                  <c:v>Taliansko</c:v>
                </c:pt>
                <c:pt idx="17">
                  <c:v>Estónsko</c:v>
                </c:pt>
                <c:pt idx="18">
                  <c:v>Spojené kráľovstvo</c:v>
                </c:pt>
                <c:pt idx="19">
                  <c:v>Litva</c:v>
                </c:pt>
                <c:pt idx="20">
                  <c:v>Holansko</c:v>
                </c:pt>
                <c:pt idx="21">
                  <c:v>Švédsko</c:v>
                </c:pt>
                <c:pt idx="22">
                  <c:v>Malta</c:v>
                </c:pt>
                <c:pt idx="23">
                  <c:v>Fínsko</c:v>
                </c:pt>
                <c:pt idx="24">
                  <c:v>Cyprus</c:v>
                </c:pt>
                <c:pt idx="25">
                  <c:v>Grécko</c:v>
                </c:pt>
                <c:pt idx="26">
                  <c:v>Luxembursko</c:v>
                </c:pt>
              </c:strCache>
            </c:strRef>
          </c:cat>
          <c:val>
            <c:numRef>
              <c:f>'CBE 01-06-2021'!$B$2:$B$28</c:f>
              <c:numCache>
                <c:formatCode>General</c:formatCode>
                <c:ptCount val="27"/>
                <c:pt idx="0">
                  <c:v>399</c:v>
                </c:pt>
                <c:pt idx="1">
                  <c:v>177</c:v>
                </c:pt>
                <c:pt idx="2">
                  <c:v>176</c:v>
                </c:pt>
                <c:pt idx="3">
                  <c:v>91</c:v>
                </c:pt>
                <c:pt idx="4">
                  <c:v>38</c:v>
                </c:pt>
                <c:pt idx="5">
                  <c:v>21</c:v>
                </c:pt>
                <c:pt idx="6">
                  <c:v>15</c:v>
                </c:pt>
                <c:pt idx="7">
                  <c:v>13</c:v>
                </c:pt>
                <c:pt idx="8">
                  <c:v>13</c:v>
                </c:pt>
                <c:pt idx="9">
                  <c:v>7</c:v>
                </c:pt>
                <c:pt idx="10">
                  <c:v>7</c:v>
                </c:pt>
                <c:pt idx="11">
                  <c:v>7</c:v>
                </c:pt>
                <c:pt idx="12">
                  <c:v>6</c:v>
                </c:pt>
                <c:pt idx="13">
                  <c:v>6</c:v>
                </c:pt>
                <c:pt idx="14">
                  <c:v>5</c:v>
                </c:pt>
                <c:pt idx="15">
                  <c:v>5</c:v>
                </c:pt>
                <c:pt idx="16">
                  <c:v>5</c:v>
                </c:pt>
                <c:pt idx="17">
                  <c:v>4</c:v>
                </c:pt>
                <c:pt idx="18">
                  <c:v>4</c:v>
                </c:pt>
                <c:pt idx="19">
                  <c:v>4</c:v>
                </c:pt>
                <c:pt idx="20">
                  <c:v>4</c:v>
                </c:pt>
                <c:pt idx="21">
                  <c:v>4</c:v>
                </c:pt>
                <c:pt idx="22">
                  <c:v>3</c:v>
                </c:pt>
                <c:pt idx="23">
                  <c:v>2</c:v>
                </c:pt>
                <c:pt idx="24">
                  <c:v>1</c:v>
                </c:pt>
                <c:pt idx="25">
                  <c:v>1</c:v>
                </c:pt>
                <c:pt idx="26">
                  <c:v>1</c:v>
                </c:pt>
              </c:numCache>
            </c:numRef>
          </c:val>
          <c:extLst>
            <c:ext xmlns:c16="http://schemas.microsoft.com/office/drawing/2014/chart" uri="{C3380CC4-5D6E-409C-BE32-E72D297353CC}">
              <c16:uniqueId val="{00000000-E1CA-41B4-AD5E-247B4A6CD1F8}"/>
            </c:ext>
          </c:extLst>
        </c:ser>
        <c:ser>
          <c:idx val="1"/>
          <c:order val="1"/>
          <c:spPr>
            <a:solidFill>
              <a:schemeClr val="accent4"/>
            </a:solidFill>
            <a:ln>
              <a:noFill/>
            </a:ln>
            <a:effectLst/>
          </c:spPr>
          <c:invertIfNegative val="0"/>
          <c:dLbls>
            <c:delete val="1"/>
          </c:dLbls>
          <c:cat>
            <c:strRef>
              <c:f>'CBE 01-06-2021'!$C$2:$C$28</c:f>
              <c:strCache>
                <c:ptCount val="27"/>
                <c:pt idx="0">
                  <c:v>ČR</c:v>
                </c:pt>
                <c:pt idx="1">
                  <c:v>Poľsko</c:v>
                </c:pt>
                <c:pt idx="2">
                  <c:v>Rakúsko</c:v>
                </c:pt>
                <c:pt idx="3">
                  <c:v>Dánsko</c:v>
                </c:pt>
                <c:pt idx="4">
                  <c:v>Maďarsko</c:v>
                </c:pt>
                <c:pt idx="5">
                  <c:v>Rumunsko</c:v>
                </c:pt>
                <c:pt idx="6">
                  <c:v>Slovinsko</c:v>
                </c:pt>
                <c:pt idx="7">
                  <c:v>Belgicko</c:v>
                </c:pt>
                <c:pt idx="8">
                  <c:v>Bulharsko</c:v>
                </c:pt>
                <c:pt idx="9">
                  <c:v>Španielsko</c:v>
                </c:pt>
                <c:pt idx="10">
                  <c:v>Írsko</c:v>
                </c:pt>
                <c:pt idx="11">
                  <c:v>Lotyšsko</c:v>
                </c:pt>
                <c:pt idx="12">
                  <c:v>Francúzsko</c:v>
                </c:pt>
                <c:pt idx="13">
                  <c:v>Portugalsko</c:v>
                </c:pt>
                <c:pt idx="14">
                  <c:v>Dánsko</c:v>
                </c:pt>
                <c:pt idx="15">
                  <c:v>Chorvátsko</c:v>
                </c:pt>
                <c:pt idx="16">
                  <c:v>Taliansko</c:v>
                </c:pt>
                <c:pt idx="17">
                  <c:v>Estónsko</c:v>
                </c:pt>
                <c:pt idx="18">
                  <c:v>Spojené kráľovstvo</c:v>
                </c:pt>
                <c:pt idx="19">
                  <c:v>Litva</c:v>
                </c:pt>
                <c:pt idx="20">
                  <c:v>Holansko</c:v>
                </c:pt>
                <c:pt idx="21">
                  <c:v>Švédsko</c:v>
                </c:pt>
                <c:pt idx="22">
                  <c:v>Malta</c:v>
                </c:pt>
                <c:pt idx="23">
                  <c:v>Fínsko</c:v>
                </c:pt>
                <c:pt idx="24">
                  <c:v>Cyprus</c:v>
                </c:pt>
                <c:pt idx="25">
                  <c:v>Grécko</c:v>
                </c:pt>
                <c:pt idx="26">
                  <c:v>Luxembursko</c:v>
                </c:pt>
              </c:strCache>
            </c:strRef>
          </c:cat>
          <c:val>
            <c:numRef>
              <c:f>'CBE 01-06-2021'!$C$2:$C$28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numCache>
            </c:numRef>
          </c:val>
          <c:extLst>
            <c:ext xmlns:c16="http://schemas.microsoft.com/office/drawing/2014/chart" uri="{C3380CC4-5D6E-409C-BE32-E72D297353CC}">
              <c16:uniqueId val="{00000001-E1CA-41B4-AD5E-247B4A6CD1F8}"/>
            </c:ext>
          </c:extLst>
        </c:ser>
        <c:dLbls>
          <c:dLblPos val="outEnd"/>
          <c:showLegendKey val="0"/>
          <c:showVal val="1"/>
          <c:showCatName val="0"/>
          <c:showSerName val="0"/>
          <c:showPercent val="0"/>
          <c:showBubbleSize val="0"/>
        </c:dLbls>
        <c:gapWidth val="267"/>
        <c:overlap val="-43"/>
        <c:axId val="1065314815"/>
        <c:axId val="1065313567"/>
      </c:barChart>
      <c:catAx>
        <c:axId val="1065314815"/>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k-SK"/>
          </a:p>
        </c:txPr>
        <c:crossAx val="1065313567"/>
        <c:crosses val="autoZero"/>
        <c:auto val="1"/>
        <c:lblAlgn val="ctr"/>
        <c:lblOffset val="100"/>
        <c:noMultiLvlLbl val="0"/>
      </c:catAx>
      <c:valAx>
        <c:axId val="1065313567"/>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1065314815"/>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k-SK"/>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en-US">
                <a:solidFill>
                  <a:sysClr val="windowText" lastClr="000000"/>
                </a:solidFill>
              </a:rPr>
              <a:t>Vy</a:t>
            </a:r>
            <a:r>
              <a:rPr lang="sk-SK">
                <a:solidFill>
                  <a:sysClr val="windowText" lastClr="000000"/>
                </a:solidFill>
              </a:rPr>
              <a:t>hľadávanie zahraničných EČV príslušníkmi PZ </a:t>
            </a:r>
          </a:p>
          <a:p>
            <a:pPr>
              <a:defRPr>
                <a:solidFill>
                  <a:sysClr val="windowText" lastClr="000000"/>
                </a:solidFill>
              </a:defRPr>
            </a:pPr>
            <a:r>
              <a:rPr lang="sk-SK">
                <a:solidFill>
                  <a:sysClr val="windowText" lastClr="000000"/>
                </a:solidFill>
              </a:rPr>
              <a:t>v module CBE v 2. polroku 2021</a:t>
            </a:r>
            <a:endParaRPr lang="en-US">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sk-SK"/>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'CBE 07-12-2021'!$C$2:$C$22</c:f>
              <c:strCache>
                <c:ptCount val="21"/>
                <c:pt idx="0">
                  <c:v>ČR</c:v>
                </c:pt>
                <c:pt idx="1">
                  <c:v>Poľsko</c:v>
                </c:pt>
                <c:pt idx="2">
                  <c:v>Rakúsko</c:v>
                </c:pt>
                <c:pt idx="3">
                  <c:v>Nemecko</c:v>
                </c:pt>
                <c:pt idx="4">
                  <c:v>Maďarsko</c:v>
                </c:pt>
                <c:pt idx="5">
                  <c:v>Taliansko</c:v>
                </c:pt>
                <c:pt idx="6">
                  <c:v>Rumunsko</c:v>
                </c:pt>
                <c:pt idx="7">
                  <c:v>Bulharsko</c:v>
                </c:pt>
                <c:pt idx="8">
                  <c:v>Holandsko</c:v>
                </c:pt>
                <c:pt idx="9">
                  <c:v>Španielsko</c:v>
                </c:pt>
                <c:pt idx="10">
                  <c:v>Dánsko</c:v>
                </c:pt>
                <c:pt idx="11">
                  <c:v>Belgicko</c:v>
                </c:pt>
                <c:pt idx="12">
                  <c:v>Slovinsko</c:v>
                </c:pt>
                <c:pt idx="13">
                  <c:v>Estónsko</c:v>
                </c:pt>
                <c:pt idx="14">
                  <c:v>Litva</c:v>
                </c:pt>
                <c:pt idx="15">
                  <c:v>Švédsko</c:v>
                </c:pt>
                <c:pt idx="16">
                  <c:v>Francúzsko</c:v>
                </c:pt>
                <c:pt idx="17">
                  <c:v>Chorvátsko</c:v>
                </c:pt>
                <c:pt idx="18">
                  <c:v>Írsko</c:v>
                </c:pt>
                <c:pt idx="19">
                  <c:v>Lotyšsko</c:v>
                </c:pt>
                <c:pt idx="20">
                  <c:v>Portugalsko</c:v>
                </c:pt>
              </c:strCache>
            </c:strRef>
          </c:cat>
          <c:val>
            <c:numRef>
              <c:f>'CBE 07-12-2021'!$B$2:$B$22</c:f>
              <c:numCache>
                <c:formatCode>General</c:formatCode>
                <c:ptCount val="21"/>
                <c:pt idx="0">
                  <c:v>455</c:v>
                </c:pt>
                <c:pt idx="1">
                  <c:v>233</c:v>
                </c:pt>
                <c:pt idx="2">
                  <c:v>123</c:v>
                </c:pt>
                <c:pt idx="3">
                  <c:v>83</c:v>
                </c:pt>
                <c:pt idx="4">
                  <c:v>59</c:v>
                </c:pt>
                <c:pt idx="5">
                  <c:v>25</c:v>
                </c:pt>
                <c:pt idx="6">
                  <c:v>20</c:v>
                </c:pt>
                <c:pt idx="7">
                  <c:v>10</c:v>
                </c:pt>
                <c:pt idx="8">
                  <c:v>9</c:v>
                </c:pt>
                <c:pt idx="9">
                  <c:v>7</c:v>
                </c:pt>
                <c:pt idx="10">
                  <c:v>6</c:v>
                </c:pt>
                <c:pt idx="11">
                  <c:v>5</c:v>
                </c:pt>
                <c:pt idx="12">
                  <c:v>4</c:v>
                </c:pt>
                <c:pt idx="13">
                  <c:v>3</c:v>
                </c:pt>
                <c:pt idx="14">
                  <c:v>3</c:v>
                </c:pt>
                <c:pt idx="15">
                  <c:v>3</c:v>
                </c:pt>
                <c:pt idx="16">
                  <c:v>2</c:v>
                </c:pt>
                <c:pt idx="17">
                  <c:v>2</c:v>
                </c:pt>
                <c:pt idx="18">
                  <c:v>1</c:v>
                </c:pt>
                <c:pt idx="19">
                  <c:v>1</c:v>
                </c:pt>
                <c:pt idx="20">
                  <c:v>1</c:v>
                </c:pt>
              </c:numCache>
            </c:numRef>
          </c:val>
          <c:extLst>
            <c:ext xmlns:c16="http://schemas.microsoft.com/office/drawing/2014/chart" uri="{C3380CC4-5D6E-409C-BE32-E72D297353CC}">
              <c16:uniqueId val="{00000000-C3B7-4B5C-9CB8-3768F7E6C9D5}"/>
            </c:ext>
          </c:extLst>
        </c:ser>
        <c:dLbls>
          <c:dLblPos val="outEnd"/>
          <c:showLegendKey val="0"/>
          <c:showVal val="1"/>
          <c:showCatName val="0"/>
          <c:showSerName val="0"/>
          <c:showPercent val="0"/>
          <c:showBubbleSize val="0"/>
        </c:dLbls>
        <c:gapWidth val="267"/>
        <c:overlap val="-43"/>
        <c:axId val="1065314815"/>
        <c:axId val="1065313567"/>
      </c:barChart>
      <c:catAx>
        <c:axId val="1065314815"/>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k-SK"/>
          </a:p>
        </c:txPr>
        <c:crossAx val="1065313567"/>
        <c:crosses val="autoZero"/>
        <c:auto val="1"/>
        <c:lblAlgn val="ctr"/>
        <c:lblOffset val="100"/>
        <c:noMultiLvlLbl val="0"/>
      </c:catAx>
      <c:valAx>
        <c:axId val="1065313567"/>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1065314815"/>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k-SK"/>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solidFill>
                  <a:sysClr val="windowText" lastClr="000000"/>
                </a:solidFill>
              </a:rPr>
              <a:t>Vy</a:t>
            </a:r>
            <a:r>
              <a:rPr lang="sk-SK">
                <a:solidFill>
                  <a:sysClr val="windowText" lastClr="000000"/>
                </a:solidFill>
              </a:rPr>
              <a:t>hľadávanie zahraničných EČV príslušníkmi PZ </a:t>
            </a:r>
          </a:p>
          <a:p>
            <a:pPr>
              <a:defRPr/>
            </a:pPr>
            <a:r>
              <a:rPr lang="sk-SK">
                <a:solidFill>
                  <a:sysClr val="windowText" lastClr="000000"/>
                </a:solidFill>
              </a:rPr>
              <a:t>v module CBE v 1. polroku 2022</a:t>
            </a:r>
            <a:endParaRPr lang="en-US">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sk-SK"/>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'CBE 01-06-2022'!$C$2:$C$27</c:f>
              <c:strCache>
                <c:ptCount val="26"/>
                <c:pt idx="0">
                  <c:v>Maďarsko</c:v>
                </c:pt>
                <c:pt idx="1">
                  <c:v>ČR</c:v>
                </c:pt>
                <c:pt idx="2">
                  <c:v>Rakúsko</c:v>
                </c:pt>
                <c:pt idx="3">
                  <c:v>Poľsko</c:v>
                </c:pt>
                <c:pt idx="4">
                  <c:v>Nemecko</c:v>
                </c:pt>
                <c:pt idx="5">
                  <c:v>Rumunsko</c:v>
                </c:pt>
                <c:pt idx="6">
                  <c:v>Taliansko</c:v>
                </c:pt>
                <c:pt idx="7">
                  <c:v>Litva</c:v>
                </c:pt>
                <c:pt idx="8">
                  <c:v>Bulharsko</c:v>
                </c:pt>
                <c:pt idx="9">
                  <c:v>Slovinsko</c:v>
                </c:pt>
                <c:pt idx="10">
                  <c:v>Belgicko</c:v>
                </c:pt>
                <c:pt idx="11">
                  <c:v>Írsko</c:v>
                </c:pt>
                <c:pt idx="12">
                  <c:v>Francúzsko</c:v>
                </c:pt>
                <c:pt idx="13">
                  <c:v>Malta</c:v>
                </c:pt>
                <c:pt idx="14">
                  <c:v>Dánsko</c:v>
                </c:pt>
                <c:pt idx="15">
                  <c:v>Grécko</c:v>
                </c:pt>
                <c:pt idx="16">
                  <c:v>Luxembursko</c:v>
                </c:pt>
                <c:pt idx="17">
                  <c:v>Lotyšsko</c:v>
                </c:pt>
                <c:pt idx="18">
                  <c:v>Švédsko</c:v>
                </c:pt>
                <c:pt idx="19">
                  <c:v>Španielsko</c:v>
                </c:pt>
                <c:pt idx="20">
                  <c:v>Holandsko</c:v>
                </c:pt>
                <c:pt idx="21">
                  <c:v>Cyprus</c:v>
                </c:pt>
                <c:pt idx="22">
                  <c:v>Fínsko</c:v>
                </c:pt>
                <c:pt idx="23">
                  <c:v>Chorvátsko</c:v>
                </c:pt>
                <c:pt idx="24">
                  <c:v>Portugalsko</c:v>
                </c:pt>
                <c:pt idx="25">
                  <c:v>Estónsko</c:v>
                </c:pt>
              </c:strCache>
            </c:strRef>
          </c:cat>
          <c:val>
            <c:numRef>
              <c:f>'CBE 01-06-2022'!$B$2:$B$27</c:f>
              <c:numCache>
                <c:formatCode>General</c:formatCode>
                <c:ptCount val="26"/>
                <c:pt idx="0">
                  <c:v>1402</c:v>
                </c:pt>
                <c:pt idx="1">
                  <c:v>369</c:v>
                </c:pt>
                <c:pt idx="2">
                  <c:v>267</c:v>
                </c:pt>
                <c:pt idx="3">
                  <c:v>165</c:v>
                </c:pt>
                <c:pt idx="4">
                  <c:v>121</c:v>
                </c:pt>
                <c:pt idx="5">
                  <c:v>29</c:v>
                </c:pt>
                <c:pt idx="6">
                  <c:v>15</c:v>
                </c:pt>
                <c:pt idx="7">
                  <c:v>15</c:v>
                </c:pt>
                <c:pt idx="8">
                  <c:v>14</c:v>
                </c:pt>
                <c:pt idx="9">
                  <c:v>13</c:v>
                </c:pt>
                <c:pt idx="10">
                  <c:v>12</c:v>
                </c:pt>
                <c:pt idx="11">
                  <c:v>12</c:v>
                </c:pt>
                <c:pt idx="12">
                  <c:v>11</c:v>
                </c:pt>
                <c:pt idx="13">
                  <c:v>10</c:v>
                </c:pt>
                <c:pt idx="14">
                  <c:v>9</c:v>
                </c:pt>
                <c:pt idx="15">
                  <c:v>9</c:v>
                </c:pt>
                <c:pt idx="16">
                  <c:v>9</c:v>
                </c:pt>
                <c:pt idx="17">
                  <c:v>9</c:v>
                </c:pt>
                <c:pt idx="18">
                  <c:v>9</c:v>
                </c:pt>
                <c:pt idx="19">
                  <c:v>8</c:v>
                </c:pt>
                <c:pt idx="20">
                  <c:v>8</c:v>
                </c:pt>
                <c:pt idx="21">
                  <c:v>7</c:v>
                </c:pt>
                <c:pt idx="22">
                  <c:v>7</c:v>
                </c:pt>
                <c:pt idx="23">
                  <c:v>7</c:v>
                </c:pt>
                <c:pt idx="24">
                  <c:v>7</c:v>
                </c:pt>
                <c:pt idx="25">
                  <c:v>6</c:v>
                </c:pt>
              </c:numCache>
            </c:numRef>
          </c:val>
          <c:extLst>
            <c:ext xmlns:c16="http://schemas.microsoft.com/office/drawing/2014/chart" uri="{C3380CC4-5D6E-409C-BE32-E72D297353CC}">
              <c16:uniqueId val="{00000000-4647-4E33-A287-302BC02E2E08}"/>
            </c:ext>
          </c:extLst>
        </c:ser>
        <c:dLbls>
          <c:dLblPos val="outEnd"/>
          <c:showLegendKey val="0"/>
          <c:showVal val="1"/>
          <c:showCatName val="0"/>
          <c:showSerName val="0"/>
          <c:showPercent val="0"/>
          <c:showBubbleSize val="0"/>
        </c:dLbls>
        <c:gapWidth val="267"/>
        <c:overlap val="-43"/>
        <c:axId val="1065314815"/>
        <c:axId val="1065313567"/>
      </c:barChart>
      <c:catAx>
        <c:axId val="1065314815"/>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k-SK"/>
          </a:p>
        </c:txPr>
        <c:crossAx val="1065313567"/>
        <c:crosses val="autoZero"/>
        <c:auto val="1"/>
        <c:lblAlgn val="ctr"/>
        <c:lblOffset val="100"/>
        <c:noMultiLvlLbl val="0"/>
      </c:catAx>
      <c:valAx>
        <c:axId val="1065313567"/>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1065314815"/>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123BD-DCEC-40C7-8878-3C6289CD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4328</Words>
  <Characters>24670</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Nagyová</dc:creator>
  <cp:keywords/>
  <dc:description/>
  <cp:lastModifiedBy>Lenka Nagyová</cp:lastModifiedBy>
  <cp:revision>5</cp:revision>
  <cp:lastPrinted>2022-09-13T11:25:00Z</cp:lastPrinted>
  <dcterms:created xsi:type="dcterms:W3CDTF">2023-05-18T12:18:00Z</dcterms:created>
  <dcterms:modified xsi:type="dcterms:W3CDTF">2023-05-18T12:20:00Z</dcterms:modified>
</cp:coreProperties>
</file>